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505560" w:rsidRPr="00505560" w14:paraId="0725FB1E" w14:textId="77777777" w:rsidTr="00D57FC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6DBE32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5560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765BEFCC" wp14:editId="400B6084">
                  <wp:extent cx="586740" cy="854075"/>
                  <wp:effectExtent l="0" t="0" r="3810" b="3175"/>
                  <wp:docPr id="593569326" name="Picture 3" descr="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667AC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6463ED5A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6895748D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CONSILIUL LOCAL AL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A543C7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F828817" wp14:editId="1DAB8F8F">
                  <wp:extent cx="647065" cy="966470"/>
                  <wp:effectExtent l="0" t="0" r="635" b="5080"/>
                  <wp:docPr id="17519331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560" w:rsidRPr="00505560" w14:paraId="663ABC70" w14:textId="77777777" w:rsidTr="00D57FC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1F6EDC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ECDA44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787E5591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Web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site:</w:t>
            </w:r>
            <w:hyperlink r:id="rId9" w:history="1"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</w:t>
              </w:r>
              <w:proofErr w:type="spellEnd"/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://www.primariamociu.ro</w:t>
              </w:r>
            </w:hyperlink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A5870D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7F490E00" w14:textId="77777777" w:rsidR="008E71C2" w:rsidRPr="001B1982" w:rsidRDefault="008E71C2" w:rsidP="007C3AA1">
      <w:pPr>
        <w:jc w:val="center"/>
        <w:rPr>
          <w:rFonts w:ascii="Times New Roman" w:hAnsi="Times New Roman" w:cs="Times New Roman"/>
          <w:bCs/>
        </w:rPr>
      </w:pPr>
    </w:p>
    <w:p w14:paraId="38FBA9F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5A5DE189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10F524E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45C701FE" w14:textId="06A1A327" w:rsidR="00492762" w:rsidRDefault="00505560" w:rsidP="0049276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HOTARARE</w:t>
      </w:r>
      <w:r w:rsidR="0049276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 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NR.</w:t>
      </w:r>
      <w:r w:rsidR="0049276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7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</w:p>
    <w:p w14:paraId="00F0E032" w14:textId="2A4205AC" w:rsidR="00505560" w:rsidRPr="00801E96" w:rsidRDefault="00505560" w:rsidP="0049276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din </w:t>
      </w:r>
      <w:r w:rsidR="004554C0">
        <w:rPr>
          <w:rFonts w:ascii="Times New Roman" w:eastAsia="Aptos" w:hAnsi="Times New Roman" w:cs="Times New Roman"/>
          <w:b/>
          <w:bCs/>
          <w:sz w:val="24"/>
          <w:szCs w:val="24"/>
        </w:rPr>
        <w:t>26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.01.2026</w:t>
      </w:r>
    </w:p>
    <w:p w14:paraId="1C8DA581" w14:textId="59C59C80" w:rsidR="00801E96" w:rsidRDefault="00801E96" w:rsidP="00801E9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privind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însușirea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actualizării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suprafeței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imobilului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situat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localitatea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,</w:t>
      </w:r>
      <w:r w:rsidR="004C5B9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CF </w:t>
      </w:r>
      <w:proofErr w:type="gramStart"/>
      <w:r w:rsidR="004C5B9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51128, </w:t>
      </w: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identificat</w:t>
      </w:r>
      <w:proofErr w:type="spellEnd"/>
      <w:proofErr w:type="gram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prin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nr. cadastral </w:t>
      </w:r>
      <w:bookmarkStart w:id="0" w:name="_Hlk219739089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51128</w:t>
      </w:r>
      <w:bookmarkEnd w:id="0"/>
    </w:p>
    <w:p w14:paraId="5B5EE79C" w14:textId="77777777" w:rsidR="00492762" w:rsidRPr="00801E96" w:rsidRDefault="00492762" w:rsidP="00801E9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</w:p>
    <w:p w14:paraId="01131657" w14:textId="28A8E739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Consiliul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,</w:t>
      </w:r>
    </w:p>
    <w:p w14:paraId="7062E834" w14:textId="77777777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1D730921" w14:textId="47506027" w:rsidR="00801E96" w:rsidRPr="00801E96" w:rsidRDefault="00801E96" w:rsidP="00801E96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Referatul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aprobare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22/19.01.2026 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Primarului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13202BD" w14:textId="1B3DA21C" w:rsidR="00801E96" w:rsidRPr="00801E96" w:rsidRDefault="00801E96" w:rsidP="00801E96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24/19.01.2026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569FFF00" w14:textId="1F06CA71" w:rsidR="00801E96" w:rsidRPr="00801E96" w:rsidRDefault="00801E96" w:rsidP="00801E96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Documentația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tehnică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cadastru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întocmită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Czira David-Liviu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care s-a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constatat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diferența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suprafață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530683E2" w14:textId="77777777" w:rsidR="00801E96" w:rsidRPr="00801E96" w:rsidRDefault="00801E96" w:rsidP="00801E96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Legii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7/1996 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cadastrului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publicității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imobiliare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3BFE499F" w14:textId="77777777" w:rsidR="00801E96" w:rsidRPr="00801E96" w:rsidRDefault="00801E96" w:rsidP="00801E96">
      <w:pPr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Ordinului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Directorului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General al ANCPI nr. 600/2023 (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Regulamentul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recepție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înscriere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evidențele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cadastru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carte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funciară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);</w:t>
      </w:r>
    </w:p>
    <w:p w14:paraId="255B2E68" w14:textId="77777777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temeiul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 lit. c)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196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lit. a) din OUG nr. 57/2019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,</w:t>
      </w:r>
    </w:p>
    <w:p w14:paraId="38127034" w14:textId="77777777" w:rsidR="00801E96" w:rsidRPr="00801E96" w:rsidRDefault="00801E96" w:rsidP="00801E9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HOTĂRĂȘTE:</w:t>
      </w:r>
    </w:p>
    <w:p w14:paraId="36675CBF" w14:textId="1B2D6B07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Art. 1.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 Se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aprobă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actualizarea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datelor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tehnice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imobilului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teren</w:t>
      </w:r>
      <w:proofErr w:type="spellEnd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,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proprietate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publică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înscris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CF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51128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localității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</w:t>
      </w:r>
    </w:p>
    <w:p w14:paraId="365DEDC5" w14:textId="77777777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Art. 2.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 Se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însușește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noua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suprafață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rezultată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măsurători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cadastrale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după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cum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urmează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4C776500" w14:textId="5BDBB0FC" w:rsidR="00801E96" w:rsidRPr="00801E96" w:rsidRDefault="00801E96" w:rsidP="00801E96">
      <w:pPr>
        <w:numPr>
          <w:ilvl w:val="0"/>
          <w:numId w:val="5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Suprafața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acte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înscrisă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anterior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CF:</w:t>
      </w:r>
      <w:r w:rsidRPr="008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1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01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</w:t>
      </w: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 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mp</w:t>
      </w:r>
      <w:proofErr w:type="spellEnd"/>
      <w:proofErr w:type="gram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1B6A80F3" w14:textId="1621A969" w:rsidR="00801E96" w:rsidRPr="00801E96" w:rsidRDefault="00801E96" w:rsidP="00801E96">
      <w:pPr>
        <w:numPr>
          <w:ilvl w:val="0"/>
          <w:numId w:val="5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Suprafața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rezultată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măsurători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(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nouă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): </w:t>
      </w:r>
      <w:r w:rsidRPr="00801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01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400</w:t>
      </w: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mp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.</w:t>
      </w:r>
    </w:p>
    <w:p w14:paraId="5FE1BCD9" w14:textId="0A624024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Art. 3.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 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Diferența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suprafață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r w:rsidR="008E3234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16.500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mp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se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încadrează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toleranțele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admise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legislația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vigoare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/se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datorează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erorilor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măsurătoare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anterioare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nu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afectează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drepturile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proprietate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vecinilor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</w:t>
      </w:r>
    </w:p>
    <w:p w14:paraId="064FD4DA" w14:textId="592F823F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lastRenderedPageBreak/>
        <w:t>Art. 4.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 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Primarul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localității</w:t>
      </w:r>
      <w:proofErr w:type="spellEnd"/>
      <w:r w:rsidR="008E3234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8E3234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compartimentele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duce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la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îndeplinire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prezenta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hotărâre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efectua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demersurile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necesare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la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Biroul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Cadastru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Publicitate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Imobiliară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(BCPI)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pentru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operarea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Cartea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Funciară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</w:t>
      </w:r>
    </w:p>
    <w:p w14:paraId="3FA560E0" w14:textId="06527E15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Art. 5.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 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Prezenta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hotărâre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se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comunică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Instituției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Prefectului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persoanelor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interesate</w:t>
      </w:r>
      <w:proofErr w:type="spellEnd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si</w:t>
      </w:r>
      <w:proofErr w:type="spellEnd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se publica pe site-</w:t>
      </w:r>
      <w:proofErr w:type="spellStart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</w:t>
      </w:r>
      <w:proofErr w:type="spellEnd"/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hyperlink r:id="rId10" w:history="1">
        <w:r w:rsidR="007E24D1" w:rsidRPr="00BA792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www.primariamociu.ro</w:t>
        </w:r>
      </w:hyperlink>
      <w:r w:rsidR="007E24D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</w:p>
    <w:p w14:paraId="2B12019B" w14:textId="68867134" w:rsidR="00505560" w:rsidRDefault="00505560" w:rsidP="00801E96">
      <w:pPr>
        <w:spacing w:after="20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pt-BR"/>
          <w14:ligatures w14:val="standardContextual"/>
        </w:rPr>
      </w:pPr>
    </w:p>
    <w:p w14:paraId="7B4C9975" w14:textId="77777777" w:rsidR="00492762" w:rsidRDefault="00492762" w:rsidP="00492762">
      <w:pPr>
        <w:rPr>
          <w:rFonts w:ascii="Times New Roman" w:eastAsia="Aptos" w:hAnsi="Times New Roman" w:cs="Times New Roman"/>
          <w:kern w:val="2"/>
          <w:sz w:val="24"/>
          <w:szCs w:val="24"/>
          <w:lang w:val="pt-BR"/>
          <w14:ligatures w14:val="standardContextual"/>
        </w:rPr>
      </w:pPr>
    </w:p>
    <w:p w14:paraId="1501817B" w14:textId="77777777" w:rsidR="00492762" w:rsidRPr="00492762" w:rsidRDefault="00492762" w:rsidP="004927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Presedinte</w:t>
      </w:r>
      <w:proofErr w:type="spellEnd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de sedinta,</w:t>
      </w:r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   Secretar general al comunei,</w:t>
      </w:r>
    </w:p>
    <w:p w14:paraId="75D1035A" w14:textId="5F76077B" w:rsidR="00492762" w:rsidRPr="00492762" w:rsidRDefault="00492762" w:rsidP="00492762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Horvath</w:t>
      </w:r>
      <w:proofErr w:type="spellEnd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Bernat</w:t>
      </w:r>
      <w:proofErr w:type="spellEnd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Csaba </w:t>
      </w:r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                                           </w:t>
      </w:r>
      <w:proofErr w:type="spellStart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Gânfălean</w:t>
      </w:r>
      <w:proofErr w:type="spellEnd"/>
      <w:r w:rsidRPr="0049276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Maria-Ioana</w:t>
      </w:r>
    </w:p>
    <w:p w14:paraId="6E7A9252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6F4C5317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5E1C8A92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7FCEE91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D58D6E5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2438B4BC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2E7A43D9" w14:textId="4F3C46E8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 w:firstLine="72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  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Prezenta </w:t>
      </w:r>
      <w:proofErr w:type="spellStart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hotǎrâre</w:t>
      </w:r>
      <w:proofErr w:type="spellEnd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a fost </w:t>
      </w:r>
      <w:proofErr w:type="spellStart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adoptatǎ</w:t>
      </w:r>
      <w:proofErr w:type="spellEnd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cu respectarea prevederilor art. 139 din OUG 57/2019 (r</w:t>
      </w:r>
      <w:r w:rsidRPr="0049276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o-RO"/>
        </w:rPr>
        <w:t>1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)</w:t>
      </w:r>
    </w:p>
    <w:p w14:paraId="2389B479" w14:textId="717CAC1D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                                  =  13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                  Voturi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                   - pentru      =    1</w:t>
      </w:r>
      <w:r w:rsidR="00E202A4">
        <w:rPr>
          <w:rFonts w:ascii="Times New Roman" w:eastAsia="Times New Roman" w:hAnsi="Times New Roman" w:cs="Times New Roman"/>
          <w:sz w:val="16"/>
          <w:szCs w:val="16"/>
          <w:lang w:eastAsia="ro-RO"/>
        </w:rPr>
        <w:t>3</w:t>
      </w:r>
    </w:p>
    <w:p w14:paraId="74DD5B39" w14:textId="77777777" w:rsidR="00492762" w:rsidRPr="00492762" w:rsidRDefault="00492762" w:rsidP="0049276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</w:t>
      </w:r>
      <w:proofErr w:type="spellStart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prezenţi</w:t>
      </w:r>
      <w:proofErr w:type="spellEnd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=  13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>- contra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>=      0</w:t>
      </w:r>
    </w:p>
    <w:p w14:paraId="6B018EAB" w14:textId="6DE10823" w:rsidR="00492762" w:rsidRPr="00492762" w:rsidRDefault="00492762" w:rsidP="0049276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</w:t>
      </w:r>
      <w:proofErr w:type="spellStart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absenţi</w:t>
      </w:r>
      <w:proofErr w:type="spellEnd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=  0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- </w:t>
      </w:r>
      <w:proofErr w:type="spellStart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>abţineri</w:t>
      </w:r>
      <w:proofErr w:type="spellEnd"/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</w:t>
      </w:r>
      <w:r w:rsidRPr="00492762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=      </w:t>
      </w:r>
      <w:r w:rsidR="00E202A4">
        <w:rPr>
          <w:rFonts w:ascii="Calibri" w:eastAsia="Calibri" w:hAnsi="Calibri" w:cs="Times New Roman"/>
          <w:sz w:val="16"/>
          <w:szCs w:val="16"/>
          <w:lang w:val="en-US"/>
        </w:rPr>
        <w:t>0</w:t>
      </w:r>
    </w:p>
    <w:p w14:paraId="35CB24CB" w14:textId="77777777" w:rsidR="00492762" w:rsidRPr="00492762" w:rsidRDefault="00492762" w:rsidP="00492762">
      <w:pPr>
        <w:suppressAutoHyphens/>
        <w:overflowPunct w:val="0"/>
        <w:autoSpaceDE w:val="0"/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sz w:val="24"/>
          <w:szCs w:val="24"/>
          <w:lang w:eastAsia="ro-RO"/>
        </w:rPr>
      </w:pPr>
    </w:p>
    <w:p w14:paraId="7ED38E28" w14:textId="77777777" w:rsidR="00492762" w:rsidRPr="00492762" w:rsidRDefault="00492762" w:rsidP="00492762">
      <w:pPr>
        <w:jc w:val="center"/>
        <w:rPr>
          <w:rFonts w:ascii="Times New Roman" w:eastAsia="Aptos" w:hAnsi="Times New Roman" w:cs="Times New Roman"/>
          <w:sz w:val="24"/>
          <w:szCs w:val="24"/>
          <w:lang w:val="pt-BR"/>
        </w:rPr>
      </w:pPr>
    </w:p>
    <w:sectPr w:rsidR="00492762" w:rsidRPr="00492762" w:rsidSect="001B4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A746" w14:textId="77777777" w:rsidR="00937E71" w:rsidRDefault="00937E71" w:rsidP="007C3AA1">
      <w:pPr>
        <w:spacing w:after="0" w:line="240" w:lineRule="auto"/>
      </w:pPr>
      <w:r>
        <w:separator/>
      </w:r>
    </w:p>
  </w:endnote>
  <w:endnote w:type="continuationSeparator" w:id="0">
    <w:p w14:paraId="704571AE" w14:textId="77777777" w:rsidR="00937E71" w:rsidRDefault="00937E71" w:rsidP="007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5C33" w14:textId="77777777" w:rsidR="003407F7" w:rsidRDefault="0034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919" w14:textId="77777777" w:rsidR="003407F7" w:rsidRDefault="0034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6590" w14:textId="77777777" w:rsidR="003407F7" w:rsidRDefault="0034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5EF9" w14:textId="77777777" w:rsidR="00937E71" w:rsidRDefault="00937E71" w:rsidP="007C3AA1">
      <w:pPr>
        <w:spacing w:after="0" w:line="240" w:lineRule="auto"/>
      </w:pPr>
      <w:r>
        <w:separator/>
      </w:r>
    </w:p>
  </w:footnote>
  <w:footnote w:type="continuationSeparator" w:id="0">
    <w:p w14:paraId="16869225" w14:textId="77777777" w:rsidR="00937E71" w:rsidRDefault="00937E71" w:rsidP="007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BF6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DF548C" wp14:editId="60BB55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EE85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F5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56EE85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6AC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D681BF" wp14:editId="793C36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C4598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D4C4598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29C" w14:textId="77777777" w:rsidR="003407F7" w:rsidRDefault="00000000">
    <w:pPr>
      <w:pStyle w:val="Header"/>
    </w:pPr>
    <w:r>
      <w:rPr>
        <w:noProof/>
      </w:rPr>
      <w:pict w14:anchorId="160A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2A7A3A"/>
    <w:multiLevelType w:val="multilevel"/>
    <w:tmpl w:val="86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1EF"/>
    <w:multiLevelType w:val="hybridMultilevel"/>
    <w:tmpl w:val="BA1C6462"/>
    <w:lvl w:ilvl="0" w:tplc="DDDE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1E31"/>
    <w:multiLevelType w:val="multilevel"/>
    <w:tmpl w:val="F7D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22232">
    <w:abstractNumId w:val="0"/>
  </w:num>
  <w:num w:numId="2" w16cid:durableId="1579901724">
    <w:abstractNumId w:val="3"/>
  </w:num>
  <w:num w:numId="3" w16cid:durableId="721948869">
    <w:abstractNumId w:val="1"/>
  </w:num>
  <w:num w:numId="4" w16cid:durableId="290404892">
    <w:abstractNumId w:val="4"/>
  </w:num>
  <w:num w:numId="5" w16cid:durableId="15985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E"/>
    <w:rsid w:val="00002D52"/>
    <w:rsid w:val="000314E3"/>
    <w:rsid w:val="0005431D"/>
    <w:rsid w:val="00084F64"/>
    <w:rsid w:val="000904B6"/>
    <w:rsid w:val="000E65C7"/>
    <w:rsid w:val="000F5836"/>
    <w:rsid w:val="00114B7C"/>
    <w:rsid w:val="00117491"/>
    <w:rsid w:val="00132523"/>
    <w:rsid w:val="001452A4"/>
    <w:rsid w:val="00151BEE"/>
    <w:rsid w:val="001665CF"/>
    <w:rsid w:val="001A2C8E"/>
    <w:rsid w:val="001A7CE1"/>
    <w:rsid w:val="001B1982"/>
    <w:rsid w:val="001D2CE7"/>
    <w:rsid w:val="002026B7"/>
    <w:rsid w:val="00241A91"/>
    <w:rsid w:val="002502C9"/>
    <w:rsid w:val="0026753B"/>
    <w:rsid w:val="002700D1"/>
    <w:rsid w:val="00280BDF"/>
    <w:rsid w:val="00284C04"/>
    <w:rsid w:val="002C67F1"/>
    <w:rsid w:val="002D52F5"/>
    <w:rsid w:val="002D6FFE"/>
    <w:rsid w:val="002F0400"/>
    <w:rsid w:val="002F5E65"/>
    <w:rsid w:val="00331933"/>
    <w:rsid w:val="003407F7"/>
    <w:rsid w:val="00357208"/>
    <w:rsid w:val="00376EE1"/>
    <w:rsid w:val="003816F4"/>
    <w:rsid w:val="003C4B2B"/>
    <w:rsid w:val="004340C5"/>
    <w:rsid w:val="00437771"/>
    <w:rsid w:val="0044647F"/>
    <w:rsid w:val="004554C0"/>
    <w:rsid w:val="00491A66"/>
    <w:rsid w:val="00492762"/>
    <w:rsid w:val="004A1973"/>
    <w:rsid w:val="004C0F0E"/>
    <w:rsid w:val="004C5B92"/>
    <w:rsid w:val="004C5D44"/>
    <w:rsid w:val="004E111C"/>
    <w:rsid w:val="00505560"/>
    <w:rsid w:val="00522C0F"/>
    <w:rsid w:val="00525D85"/>
    <w:rsid w:val="0054012C"/>
    <w:rsid w:val="005476C4"/>
    <w:rsid w:val="00573F80"/>
    <w:rsid w:val="00585A50"/>
    <w:rsid w:val="005F3636"/>
    <w:rsid w:val="00601AFE"/>
    <w:rsid w:val="0061195F"/>
    <w:rsid w:val="0063614D"/>
    <w:rsid w:val="006924A3"/>
    <w:rsid w:val="006A6A24"/>
    <w:rsid w:val="006A777E"/>
    <w:rsid w:val="006B55BF"/>
    <w:rsid w:val="006D5444"/>
    <w:rsid w:val="006E28DE"/>
    <w:rsid w:val="006E6A35"/>
    <w:rsid w:val="0072062B"/>
    <w:rsid w:val="007400F2"/>
    <w:rsid w:val="00751520"/>
    <w:rsid w:val="00755723"/>
    <w:rsid w:val="0076520D"/>
    <w:rsid w:val="00795E56"/>
    <w:rsid w:val="007A371C"/>
    <w:rsid w:val="007C3AA1"/>
    <w:rsid w:val="007C71F0"/>
    <w:rsid w:val="007E24D1"/>
    <w:rsid w:val="007F57EC"/>
    <w:rsid w:val="00801E96"/>
    <w:rsid w:val="00815639"/>
    <w:rsid w:val="00815B9A"/>
    <w:rsid w:val="00843C0C"/>
    <w:rsid w:val="00845E6A"/>
    <w:rsid w:val="00855FC9"/>
    <w:rsid w:val="00875A25"/>
    <w:rsid w:val="00890A24"/>
    <w:rsid w:val="008B57C0"/>
    <w:rsid w:val="008C059D"/>
    <w:rsid w:val="008D4F1A"/>
    <w:rsid w:val="008E3234"/>
    <w:rsid w:val="008E71C2"/>
    <w:rsid w:val="00937E71"/>
    <w:rsid w:val="0095528D"/>
    <w:rsid w:val="00967ED6"/>
    <w:rsid w:val="009702C4"/>
    <w:rsid w:val="009D66D9"/>
    <w:rsid w:val="009F1169"/>
    <w:rsid w:val="00A45FDC"/>
    <w:rsid w:val="00A61644"/>
    <w:rsid w:val="00A73F07"/>
    <w:rsid w:val="00AD2F48"/>
    <w:rsid w:val="00AD7725"/>
    <w:rsid w:val="00B025B6"/>
    <w:rsid w:val="00B0648C"/>
    <w:rsid w:val="00B22F92"/>
    <w:rsid w:val="00B30CB0"/>
    <w:rsid w:val="00B3557B"/>
    <w:rsid w:val="00BC4A00"/>
    <w:rsid w:val="00BE663B"/>
    <w:rsid w:val="00BF53A6"/>
    <w:rsid w:val="00C21DE3"/>
    <w:rsid w:val="00C3727B"/>
    <w:rsid w:val="00C77EAB"/>
    <w:rsid w:val="00C93700"/>
    <w:rsid w:val="00C95260"/>
    <w:rsid w:val="00CD0AD3"/>
    <w:rsid w:val="00CE6B70"/>
    <w:rsid w:val="00D05E01"/>
    <w:rsid w:val="00D72F29"/>
    <w:rsid w:val="00D7679E"/>
    <w:rsid w:val="00DB4E73"/>
    <w:rsid w:val="00DC3B4B"/>
    <w:rsid w:val="00DC431D"/>
    <w:rsid w:val="00DC4FB5"/>
    <w:rsid w:val="00DF058D"/>
    <w:rsid w:val="00E202A4"/>
    <w:rsid w:val="00E22ED1"/>
    <w:rsid w:val="00E6562A"/>
    <w:rsid w:val="00E75C35"/>
    <w:rsid w:val="00EC2B05"/>
    <w:rsid w:val="00EE5F7F"/>
    <w:rsid w:val="00F21727"/>
    <w:rsid w:val="00F4612F"/>
    <w:rsid w:val="00F60913"/>
    <w:rsid w:val="00F67B78"/>
    <w:rsid w:val="00F71B9B"/>
    <w:rsid w:val="00F75F7F"/>
    <w:rsid w:val="00F82B05"/>
    <w:rsid w:val="00F91BF7"/>
    <w:rsid w:val="00F93B51"/>
    <w:rsid w:val="00FA5D94"/>
    <w:rsid w:val="00FB4CD5"/>
    <w:rsid w:val="00FE1E81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C62C"/>
  <w15:chartTrackingRefBased/>
  <w15:docId w15:val="{6DE248FF-2CB5-4B37-AB08-D24ADD6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4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3A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AA1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C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A1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7C3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5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6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rimariamoc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Secretar</cp:lastModifiedBy>
  <cp:revision>85</cp:revision>
  <cp:lastPrinted>2026-02-06T11:18:00Z</cp:lastPrinted>
  <dcterms:created xsi:type="dcterms:W3CDTF">2024-10-15T05:55:00Z</dcterms:created>
  <dcterms:modified xsi:type="dcterms:W3CDTF">2026-02-06T11:19:00Z</dcterms:modified>
</cp:coreProperties>
</file>