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59BC" w14:textId="77777777" w:rsidR="00CF7585" w:rsidRDefault="00CF7585" w:rsidP="00CF7585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13"/>
        <w:tblW w:w="9387" w:type="dxa"/>
        <w:tblLayout w:type="fixed"/>
        <w:tblLook w:val="04A0" w:firstRow="1" w:lastRow="0" w:firstColumn="1" w:lastColumn="0" w:noHBand="0" w:noVBand="1"/>
      </w:tblPr>
      <w:tblGrid>
        <w:gridCol w:w="1202"/>
        <w:gridCol w:w="6697"/>
        <w:gridCol w:w="1488"/>
      </w:tblGrid>
      <w:tr w:rsidR="00CF7585" w:rsidRPr="00ED0636" w14:paraId="0FD89710" w14:textId="77777777" w:rsidTr="00B954BD">
        <w:trPr>
          <w:trHeight w:val="1558"/>
        </w:trPr>
        <w:tc>
          <w:tcPr>
            <w:tcW w:w="120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DA5C30" w14:textId="77777777" w:rsidR="00CF7585" w:rsidRPr="00ED0636" w:rsidRDefault="00CF7585" w:rsidP="00B954B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GB"/>
              </w:rPr>
            </w:pPr>
          </w:p>
          <w:p w14:paraId="2E0F5D94" w14:textId="77777777" w:rsidR="00CF7585" w:rsidRPr="00ED0636" w:rsidRDefault="00CF7585" w:rsidP="00B954B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GB"/>
              </w:rPr>
            </w:pPr>
            <w:r w:rsidRPr="00ED0636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BB5779C" wp14:editId="5BBA7044">
                  <wp:extent cx="571500" cy="790575"/>
                  <wp:effectExtent l="0" t="0" r="0" b="9525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5BCD3" w14:textId="77777777" w:rsidR="00CF7585" w:rsidRPr="00ED0636" w:rsidRDefault="00CF7585" w:rsidP="00B954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</w:pPr>
          </w:p>
          <w:p w14:paraId="0BA9BE20" w14:textId="77777777" w:rsidR="00CF7585" w:rsidRPr="00ED0636" w:rsidRDefault="00CF7585" w:rsidP="00B954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</w:pPr>
            <w:r w:rsidRPr="00ED0636"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  <w:t>ROMÂNIA</w:t>
            </w:r>
          </w:p>
          <w:p w14:paraId="09EF9271" w14:textId="77777777" w:rsidR="00CF7585" w:rsidRPr="00ED0636" w:rsidRDefault="00CF7585" w:rsidP="00B954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</w:pPr>
            <w:r w:rsidRPr="00ED0636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A71BD51" wp14:editId="18789363">
                  <wp:extent cx="2781300" cy="2286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D1B119" w14:textId="77777777" w:rsidR="00CF7585" w:rsidRPr="00ED0636" w:rsidRDefault="00CF7585" w:rsidP="00B954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</w:pPr>
            <w:r w:rsidRPr="00ED0636"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  <w:t>JUDEŢUL CLUJ</w:t>
            </w:r>
          </w:p>
          <w:p w14:paraId="7583E0D3" w14:textId="77777777" w:rsidR="00CF7585" w:rsidRPr="00ED0636" w:rsidRDefault="00CF7585" w:rsidP="00CF7585">
            <w:pPr>
              <w:tabs>
                <w:tab w:val="center" w:pos="3240"/>
                <w:tab w:val="right" w:pos="6481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</w:pPr>
            <w:r w:rsidRPr="00ED0636"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  <w:tab/>
              <w:t xml:space="preserve"> CONSILIUL</w:t>
            </w:r>
            <w:r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  <w:t xml:space="preserve">  LOCAL AL COMUNEI </w:t>
            </w:r>
            <w:r w:rsidRPr="00ED0636"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  <w:t xml:space="preserve">  MOCIU</w:t>
            </w:r>
            <w:r w:rsidRPr="00ED0636"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  <w:tab/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54E933" w14:textId="77777777" w:rsidR="00CF7585" w:rsidRPr="00ED0636" w:rsidRDefault="00CF7585" w:rsidP="00B954B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GB"/>
              </w:rPr>
            </w:pPr>
          </w:p>
          <w:p w14:paraId="57832EC1" w14:textId="77777777" w:rsidR="00CF7585" w:rsidRPr="00ED0636" w:rsidRDefault="00CF7585" w:rsidP="00B954B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GB"/>
              </w:rPr>
            </w:pPr>
            <w:r w:rsidRPr="00ED0636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4BAF0F7" wp14:editId="72BB0FD1">
                  <wp:extent cx="533400" cy="809625"/>
                  <wp:effectExtent l="0" t="0" r="0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58B29" w14:textId="77777777" w:rsidR="00CF7585" w:rsidRPr="00ED0636" w:rsidRDefault="00CF7585" w:rsidP="00B954B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GB"/>
              </w:rPr>
            </w:pPr>
          </w:p>
        </w:tc>
      </w:tr>
      <w:tr w:rsidR="00CF7585" w:rsidRPr="00ED0636" w14:paraId="515D3ABA" w14:textId="77777777" w:rsidTr="00B954BD">
        <w:trPr>
          <w:trHeight w:val="456"/>
        </w:trPr>
        <w:tc>
          <w:tcPr>
            <w:tcW w:w="120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27FB43" w14:textId="77777777" w:rsidR="00CF7585" w:rsidRPr="00ED0636" w:rsidRDefault="00CF7585" w:rsidP="00B954B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GB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DEE087" w14:textId="6DBDB4D2" w:rsidR="00CF7585" w:rsidRPr="00ED0636" w:rsidRDefault="00CF7585" w:rsidP="00B954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  <w:r w:rsidRPr="00ED0636">
              <w:rPr>
                <w:rFonts w:ascii="Calibri" w:eastAsia="Calibri" w:hAnsi="Calibri"/>
                <w:sz w:val="18"/>
                <w:szCs w:val="18"/>
                <w:lang w:eastAsia="en-GB"/>
              </w:rPr>
              <w:t xml:space="preserve">407420- MOCIU nr. </w:t>
            </w:r>
            <w:r w:rsidR="002C51CA">
              <w:rPr>
                <w:rFonts w:ascii="Calibri" w:eastAsia="Calibri" w:hAnsi="Calibri"/>
                <w:sz w:val="18"/>
                <w:szCs w:val="18"/>
                <w:lang w:eastAsia="en-GB"/>
              </w:rPr>
              <w:t>72</w:t>
            </w:r>
            <w:r w:rsidRPr="00ED0636">
              <w:rPr>
                <w:rFonts w:ascii="Calibri" w:eastAsia="Calibri" w:hAnsi="Calibri"/>
                <w:sz w:val="18"/>
                <w:szCs w:val="18"/>
                <w:lang w:eastAsia="en-GB"/>
              </w:rPr>
              <w:t>, tel: 0264/235.212-centrala ; 0264/235.501; fax 0264/235.235</w:t>
            </w:r>
          </w:p>
          <w:p w14:paraId="145874D0" w14:textId="77777777" w:rsidR="00CF7585" w:rsidRPr="00ED0636" w:rsidRDefault="00CF7585" w:rsidP="00B954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color w:val="3333FF"/>
                <w:sz w:val="32"/>
                <w:szCs w:val="32"/>
                <w:lang w:eastAsia="en-GB"/>
              </w:rPr>
            </w:pPr>
            <w:r w:rsidRPr="00ED0636">
              <w:rPr>
                <w:rFonts w:ascii="Calibri" w:eastAsia="Calibri" w:hAnsi="Calibri"/>
                <w:sz w:val="18"/>
                <w:szCs w:val="18"/>
                <w:lang w:eastAsia="en-GB"/>
              </w:rPr>
              <w:t xml:space="preserve">Web </w:t>
            </w:r>
            <w:proofErr w:type="spellStart"/>
            <w:r w:rsidRPr="00ED0636">
              <w:rPr>
                <w:rFonts w:ascii="Calibri" w:eastAsia="Calibri" w:hAnsi="Calibri"/>
                <w:sz w:val="18"/>
                <w:szCs w:val="18"/>
                <w:lang w:eastAsia="en-GB"/>
              </w:rPr>
              <w:t>site:</w:t>
            </w:r>
            <w:hyperlink r:id="rId8" w:history="1">
              <w:r w:rsidRPr="00ED0636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eastAsia="en-GB"/>
                </w:rPr>
                <w:t>http</w:t>
              </w:r>
              <w:proofErr w:type="spellEnd"/>
              <w:r w:rsidRPr="00ED0636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eastAsia="en-GB"/>
                </w:rPr>
                <w:t>://www.primariamociu.ro</w:t>
              </w:r>
            </w:hyperlink>
            <w:r w:rsidRPr="00ED0636">
              <w:rPr>
                <w:rFonts w:ascii="Calibri" w:eastAsia="Calibri" w:hAnsi="Calibri"/>
                <w:sz w:val="18"/>
                <w:szCs w:val="18"/>
                <w:lang w:eastAsia="en-GB"/>
              </w:rPr>
              <w:t xml:space="preserve">, e-mail: </w:t>
            </w:r>
            <w:hyperlink r:id="rId9" w:history="1">
              <w:r w:rsidRPr="00ED0636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eastAsia="en-GB"/>
                </w:rPr>
                <w:t>office@primariamociu.ro</w:t>
              </w:r>
            </w:hyperlink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860AE8" w14:textId="77777777" w:rsidR="00CF7585" w:rsidRPr="00ED0636" w:rsidRDefault="00CF7585" w:rsidP="00B954BD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GB"/>
              </w:rPr>
            </w:pPr>
          </w:p>
        </w:tc>
      </w:tr>
    </w:tbl>
    <w:p w14:paraId="00A2C040" w14:textId="77777777" w:rsidR="00CF7585" w:rsidRDefault="00CF7585" w:rsidP="00CF7585">
      <w:pPr>
        <w:jc w:val="center"/>
        <w:rPr>
          <w:b/>
          <w:sz w:val="24"/>
          <w:szCs w:val="24"/>
        </w:rPr>
      </w:pPr>
    </w:p>
    <w:p w14:paraId="65026793" w14:textId="61D6CEF5" w:rsidR="002C51CA" w:rsidRDefault="00131F81" w:rsidP="002C51CA">
      <w:pPr>
        <w:overflowPunct/>
        <w:autoSpaceDE/>
        <w:autoSpaceDN/>
        <w:adjustRightInd/>
        <w:ind w:left="420"/>
        <w:jc w:val="center"/>
        <w:textAlignment w:val="auto"/>
        <w:rPr>
          <w:b/>
          <w:sz w:val="24"/>
          <w:szCs w:val="24"/>
          <w:lang w:eastAsia="en-US"/>
        </w:rPr>
      </w:pPr>
      <w:r w:rsidRPr="00131F81">
        <w:rPr>
          <w:b/>
          <w:sz w:val="24"/>
          <w:szCs w:val="24"/>
          <w:lang w:eastAsia="en-US"/>
        </w:rPr>
        <w:t>HOTĂRÂRE</w:t>
      </w:r>
      <w:r w:rsidR="00D54178">
        <w:rPr>
          <w:b/>
          <w:sz w:val="24"/>
          <w:szCs w:val="24"/>
          <w:lang w:eastAsia="en-US"/>
        </w:rPr>
        <w:t>A</w:t>
      </w:r>
      <w:r w:rsidRPr="00131F81">
        <w:rPr>
          <w:b/>
          <w:sz w:val="24"/>
          <w:szCs w:val="24"/>
          <w:lang w:eastAsia="en-US"/>
        </w:rPr>
        <w:t xml:space="preserve"> nr. </w:t>
      </w:r>
      <w:r w:rsidR="00D54178">
        <w:rPr>
          <w:b/>
          <w:sz w:val="24"/>
          <w:szCs w:val="24"/>
          <w:lang w:eastAsia="en-US"/>
        </w:rPr>
        <w:t>30</w:t>
      </w:r>
      <w:r w:rsidRPr="00131F81">
        <w:rPr>
          <w:b/>
          <w:sz w:val="24"/>
          <w:szCs w:val="24"/>
          <w:lang w:eastAsia="en-US"/>
        </w:rPr>
        <w:t xml:space="preserve"> din 2</w:t>
      </w:r>
      <w:r w:rsidR="00D54178">
        <w:rPr>
          <w:b/>
          <w:sz w:val="24"/>
          <w:szCs w:val="24"/>
          <w:lang w:eastAsia="en-US"/>
        </w:rPr>
        <w:t>8</w:t>
      </w:r>
      <w:r w:rsidRPr="00131F81">
        <w:rPr>
          <w:b/>
          <w:sz w:val="24"/>
          <w:szCs w:val="24"/>
          <w:lang w:eastAsia="en-US"/>
        </w:rPr>
        <w:t>.03.2024</w:t>
      </w:r>
    </w:p>
    <w:p w14:paraId="7645A2DE" w14:textId="778283AC" w:rsidR="00131F81" w:rsidRPr="00131F81" w:rsidRDefault="00131F81" w:rsidP="002C51CA">
      <w:pPr>
        <w:overflowPunct/>
        <w:autoSpaceDE/>
        <w:autoSpaceDN/>
        <w:adjustRightInd/>
        <w:ind w:left="420"/>
        <w:jc w:val="center"/>
        <w:textAlignment w:val="auto"/>
        <w:rPr>
          <w:b/>
          <w:sz w:val="24"/>
          <w:szCs w:val="24"/>
          <w:lang w:eastAsia="en-US"/>
        </w:rPr>
      </w:pPr>
      <w:r w:rsidRPr="00131F81">
        <w:rPr>
          <w:b/>
          <w:sz w:val="24"/>
          <w:szCs w:val="24"/>
          <w:lang w:eastAsia="en-US"/>
        </w:rPr>
        <w:t xml:space="preserve">privind includerea in domeniul public al bunurilor imobile-elemente de infrastructura pentru alimentarea cu apa si canalizare, </w:t>
      </w:r>
      <w:proofErr w:type="spellStart"/>
      <w:r w:rsidRPr="00131F81">
        <w:rPr>
          <w:b/>
          <w:sz w:val="24"/>
          <w:szCs w:val="24"/>
          <w:lang w:eastAsia="en-US"/>
        </w:rPr>
        <w:t>avand</w:t>
      </w:r>
      <w:proofErr w:type="spellEnd"/>
      <w:r w:rsidRPr="00131F81">
        <w:rPr>
          <w:b/>
          <w:sz w:val="24"/>
          <w:szCs w:val="24"/>
          <w:lang w:eastAsia="en-US"/>
        </w:rPr>
        <w:t xml:space="preserve"> valoarea de inventar de 68.217,00 lei, incluse in domeniul public al comunei Mociu, predarea bunurilor de protocol </w:t>
      </w:r>
      <w:proofErr w:type="spellStart"/>
      <w:r w:rsidRPr="00131F81">
        <w:rPr>
          <w:b/>
          <w:sz w:val="24"/>
          <w:szCs w:val="24"/>
          <w:lang w:eastAsia="en-US"/>
        </w:rPr>
        <w:t>catre</w:t>
      </w:r>
      <w:proofErr w:type="spellEnd"/>
      <w:r w:rsidRPr="00131F81">
        <w:rPr>
          <w:b/>
          <w:sz w:val="24"/>
          <w:szCs w:val="24"/>
          <w:lang w:eastAsia="en-US"/>
        </w:rPr>
        <w:t xml:space="preserve"> </w:t>
      </w:r>
      <w:proofErr w:type="spellStart"/>
      <w:r w:rsidRPr="00131F81">
        <w:rPr>
          <w:b/>
          <w:sz w:val="24"/>
          <w:szCs w:val="24"/>
          <w:lang w:eastAsia="en-US"/>
        </w:rPr>
        <w:t>Asociatia</w:t>
      </w:r>
      <w:proofErr w:type="spellEnd"/>
      <w:r w:rsidRPr="00131F81">
        <w:rPr>
          <w:b/>
          <w:sz w:val="24"/>
          <w:szCs w:val="24"/>
          <w:lang w:eastAsia="en-US"/>
        </w:rPr>
        <w:t xml:space="preserve"> Regionala pentru Dezvoltarea Infrastructurii din Bazinul Hidrografic </w:t>
      </w:r>
      <w:proofErr w:type="spellStart"/>
      <w:r w:rsidRPr="00131F81">
        <w:rPr>
          <w:b/>
          <w:sz w:val="24"/>
          <w:szCs w:val="24"/>
          <w:lang w:eastAsia="en-US"/>
        </w:rPr>
        <w:t>Somes</w:t>
      </w:r>
      <w:proofErr w:type="spellEnd"/>
      <w:r w:rsidRPr="00131F81">
        <w:rPr>
          <w:b/>
          <w:sz w:val="24"/>
          <w:szCs w:val="24"/>
          <w:lang w:eastAsia="en-US"/>
        </w:rPr>
        <w:t xml:space="preserve">-Tisa, in scopul </w:t>
      </w:r>
      <w:proofErr w:type="spellStart"/>
      <w:r w:rsidRPr="00131F81">
        <w:rPr>
          <w:b/>
          <w:sz w:val="24"/>
          <w:szCs w:val="24"/>
          <w:lang w:eastAsia="en-US"/>
        </w:rPr>
        <w:t>delegarii</w:t>
      </w:r>
      <w:proofErr w:type="spellEnd"/>
      <w:r w:rsidRPr="00131F81">
        <w:rPr>
          <w:b/>
          <w:sz w:val="24"/>
          <w:szCs w:val="24"/>
          <w:lang w:eastAsia="en-US"/>
        </w:rPr>
        <w:t xml:space="preserve"> serviciului de alimentare cu apa si </w:t>
      </w:r>
      <w:proofErr w:type="spellStart"/>
      <w:r w:rsidRPr="00131F81">
        <w:rPr>
          <w:b/>
          <w:sz w:val="24"/>
          <w:szCs w:val="24"/>
          <w:lang w:eastAsia="en-US"/>
        </w:rPr>
        <w:t>canaliare</w:t>
      </w:r>
      <w:proofErr w:type="spellEnd"/>
      <w:r w:rsidRPr="00131F81">
        <w:rPr>
          <w:b/>
          <w:sz w:val="24"/>
          <w:szCs w:val="24"/>
          <w:lang w:eastAsia="en-US"/>
        </w:rPr>
        <w:t xml:space="preserve"> </w:t>
      </w:r>
      <w:proofErr w:type="spellStart"/>
      <w:r w:rsidRPr="00131F81">
        <w:rPr>
          <w:b/>
          <w:sz w:val="24"/>
          <w:szCs w:val="24"/>
          <w:lang w:eastAsia="en-US"/>
        </w:rPr>
        <w:t>catre</w:t>
      </w:r>
      <w:proofErr w:type="spellEnd"/>
      <w:r w:rsidRPr="00131F81">
        <w:rPr>
          <w:b/>
          <w:sz w:val="24"/>
          <w:szCs w:val="24"/>
          <w:lang w:eastAsia="en-US"/>
        </w:rPr>
        <w:t xml:space="preserve"> Compania de Apa </w:t>
      </w:r>
      <w:proofErr w:type="spellStart"/>
      <w:r w:rsidRPr="00131F81">
        <w:rPr>
          <w:b/>
          <w:sz w:val="24"/>
          <w:szCs w:val="24"/>
          <w:lang w:eastAsia="en-US"/>
        </w:rPr>
        <w:t>Somes</w:t>
      </w:r>
      <w:proofErr w:type="spellEnd"/>
      <w:r w:rsidRPr="00131F81">
        <w:rPr>
          <w:b/>
          <w:sz w:val="24"/>
          <w:szCs w:val="24"/>
          <w:lang w:eastAsia="en-US"/>
        </w:rPr>
        <w:t xml:space="preserve"> SA Cluj.</w:t>
      </w:r>
    </w:p>
    <w:p w14:paraId="306599FB" w14:textId="6886054C" w:rsidR="00CF7585" w:rsidRPr="00131F81" w:rsidRDefault="00CF7585" w:rsidP="00131F81">
      <w:pPr>
        <w:jc w:val="center"/>
        <w:rPr>
          <w:b/>
          <w:sz w:val="24"/>
          <w:szCs w:val="24"/>
        </w:rPr>
      </w:pPr>
    </w:p>
    <w:p w14:paraId="335F9DB6" w14:textId="77777777" w:rsidR="00CF7585" w:rsidRPr="009F6172" w:rsidRDefault="00CF7585" w:rsidP="00CF7585">
      <w:pPr>
        <w:ind w:firstLine="720"/>
        <w:jc w:val="both"/>
        <w:rPr>
          <w:i/>
          <w:sz w:val="24"/>
          <w:szCs w:val="24"/>
        </w:rPr>
      </w:pPr>
    </w:p>
    <w:p w14:paraId="76322D4D" w14:textId="72F5AAFF" w:rsidR="00CF7585" w:rsidRPr="009F6172" w:rsidRDefault="00CF7585" w:rsidP="00CF7585">
      <w:pPr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Consiliul L</w:t>
      </w:r>
      <w:r w:rsidRPr="009F6172">
        <w:rPr>
          <w:i/>
          <w:sz w:val="24"/>
          <w:szCs w:val="24"/>
        </w:rPr>
        <w:t xml:space="preserve">ocal Mociu întrunit în </w:t>
      </w:r>
      <w:proofErr w:type="spellStart"/>
      <w:r w:rsidRPr="009F6172">
        <w:rPr>
          <w:i/>
          <w:sz w:val="24"/>
          <w:szCs w:val="24"/>
        </w:rPr>
        <w:t>şedinţă</w:t>
      </w:r>
      <w:proofErr w:type="spellEnd"/>
      <w:r w:rsidRPr="009F6172">
        <w:rPr>
          <w:i/>
          <w:sz w:val="24"/>
          <w:szCs w:val="24"/>
        </w:rPr>
        <w:t xml:space="preserve"> ordinară, </w:t>
      </w:r>
      <w:proofErr w:type="spellStart"/>
      <w:r w:rsidRPr="009F6172">
        <w:rPr>
          <w:i/>
          <w:sz w:val="24"/>
          <w:szCs w:val="24"/>
        </w:rPr>
        <w:t>ȋn</w:t>
      </w:r>
      <w:proofErr w:type="spellEnd"/>
      <w:r w:rsidRPr="009F6172">
        <w:rPr>
          <w:i/>
          <w:sz w:val="24"/>
          <w:szCs w:val="24"/>
        </w:rPr>
        <w:t xml:space="preserve"> data de </w:t>
      </w:r>
      <w:r w:rsidR="002C51CA">
        <w:rPr>
          <w:i/>
          <w:sz w:val="24"/>
          <w:szCs w:val="24"/>
        </w:rPr>
        <w:t>2</w:t>
      </w:r>
      <w:r w:rsidR="00D54178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.0</w:t>
      </w:r>
      <w:r w:rsidR="002C51CA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.202</w:t>
      </w:r>
      <w:r w:rsidR="002C51CA">
        <w:rPr>
          <w:i/>
          <w:sz w:val="24"/>
          <w:szCs w:val="24"/>
        </w:rPr>
        <w:t>4</w:t>
      </w:r>
    </w:p>
    <w:p w14:paraId="7E00C92C" w14:textId="77777777" w:rsidR="00CF7585" w:rsidRPr="009F6172" w:rsidRDefault="00CF7585" w:rsidP="00CF7585">
      <w:pPr>
        <w:ind w:firstLine="720"/>
        <w:jc w:val="both"/>
        <w:rPr>
          <w:i/>
          <w:sz w:val="24"/>
          <w:szCs w:val="24"/>
        </w:rPr>
      </w:pPr>
    </w:p>
    <w:p w14:paraId="7F3293E4" w14:textId="4A494A74" w:rsidR="00CF7585" w:rsidRPr="009F6172" w:rsidRDefault="00CF7585" w:rsidP="00CF7585">
      <w:pPr>
        <w:spacing w:line="360" w:lineRule="auto"/>
        <w:jc w:val="both"/>
        <w:rPr>
          <w:sz w:val="24"/>
          <w:szCs w:val="24"/>
        </w:rPr>
      </w:pPr>
      <w:r w:rsidRPr="009F6172">
        <w:rPr>
          <w:rFonts w:eastAsia="MS Mincho"/>
          <w:sz w:val="24"/>
          <w:szCs w:val="24"/>
        </w:rPr>
        <w:t xml:space="preserve"> </w:t>
      </w:r>
      <w:r w:rsidRPr="009F6172">
        <w:rPr>
          <w:rFonts w:eastAsia="MS Mincho"/>
          <w:sz w:val="24"/>
          <w:szCs w:val="24"/>
        </w:rPr>
        <w:tab/>
      </w:r>
      <w:r w:rsidRPr="009F6172">
        <w:rPr>
          <w:sz w:val="24"/>
          <w:szCs w:val="24"/>
        </w:rPr>
        <w:t xml:space="preserve">Luând  în  dezbatere  </w:t>
      </w:r>
      <w:r>
        <w:rPr>
          <w:sz w:val="24"/>
          <w:szCs w:val="24"/>
        </w:rPr>
        <w:t>p</w:t>
      </w:r>
      <w:r w:rsidRPr="009F6172">
        <w:rPr>
          <w:sz w:val="24"/>
          <w:szCs w:val="24"/>
        </w:rPr>
        <w:t xml:space="preserve">roiectul   de  hotărâre  nr. </w:t>
      </w:r>
      <w:r w:rsidR="00B67C50">
        <w:rPr>
          <w:sz w:val="24"/>
          <w:szCs w:val="24"/>
        </w:rPr>
        <w:t>86 din 22.03.2024,</w:t>
      </w:r>
      <w:r>
        <w:rPr>
          <w:sz w:val="24"/>
          <w:szCs w:val="24"/>
        </w:rPr>
        <w:t xml:space="preserve"> </w:t>
      </w:r>
      <w:r w:rsidRPr="009F6172">
        <w:rPr>
          <w:sz w:val="24"/>
          <w:szCs w:val="24"/>
        </w:rPr>
        <w:t xml:space="preserve">prin  care se  propune  </w:t>
      </w:r>
      <w:r w:rsidRPr="007576A3">
        <w:rPr>
          <w:sz w:val="24"/>
          <w:szCs w:val="24"/>
        </w:rPr>
        <w:t xml:space="preserve">includerea în domeniul public al </w:t>
      </w:r>
      <w:r>
        <w:rPr>
          <w:sz w:val="24"/>
          <w:szCs w:val="24"/>
        </w:rPr>
        <w:t>c</w:t>
      </w:r>
      <w:r w:rsidRPr="007576A3">
        <w:rPr>
          <w:sz w:val="24"/>
          <w:szCs w:val="24"/>
        </w:rPr>
        <w:t>omunei Mociu a unor elemente</w:t>
      </w:r>
      <w:r>
        <w:rPr>
          <w:sz w:val="24"/>
          <w:szCs w:val="24"/>
        </w:rPr>
        <w:t xml:space="preserve"> </w:t>
      </w:r>
      <w:r w:rsidRPr="007576A3">
        <w:rPr>
          <w:sz w:val="24"/>
          <w:szCs w:val="24"/>
        </w:rPr>
        <w:t>de patrimoniu public reprezentând infrastructura de alimentare cu apa si canalizare executate prin contribuția clienților Companiei de Apa Som</w:t>
      </w:r>
      <w:r>
        <w:rPr>
          <w:sz w:val="24"/>
          <w:szCs w:val="24"/>
        </w:rPr>
        <w:t>eș SA pana la data de 31.12.202</w:t>
      </w:r>
      <w:r w:rsidR="002C51CA">
        <w:rPr>
          <w:sz w:val="24"/>
          <w:szCs w:val="24"/>
        </w:rPr>
        <w:t>4</w:t>
      </w:r>
      <w:r w:rsidRPr="007576A3">
        <w:rPr>
          <w:sz w:val="24"/>
          <w:szCs w:val="24"/>
        </w:rPr>
        <w:t xml:space="preserve"> </w:t>
      </w:r>
      <w:proofErr w:type="spellStart"/>
      <w:r w:rsidRPr="007576A3">
        <w:rPr>
          <w:sz w:val="24"/>
          <w:szCs w:val="24"/>
        </w:rPr>
        <w:t>şi</w:t>
      </w:r>
      <w:proofErr w:type="spellEnd"/>
      <w:r w:rsidRPr="007576A3">
        <w:rPr>
          <w:sz w:val="24"/>
          <w:szCs w:val="24"/>
        </w:rPr>
        <w:t xml:space="preserve"> predarea bunurilor pentru protocol către Asociația Regionala Pentru Dezvoltarea Infrastructurii Din Bazinul Hidrografic Someș-Tisa in scopul delegării serviciului de alimentare cu apa si de canalizare către Compania de Apa Someș SA Cluj</w:t>
      </w:r>
      <w:r w:rsidRPr="009F6172">
        <w:rPr>
          <w:sz w:val="24"/>
          <w:szCs w:val="24"/>
        </w:rPr>
        <w:t xml:space="preserve">, proiect  </w:t>
      </w:r>
      <w:proofErr w:type="spellStart"/>
      <w:r w:rsidRPr="009F6172">
        <w:rPr>
          <w:sz w:val="24"/>
          <w:szCs w:val="24"/>
        </w:rPr>
        <w:t>iniţiat</w:t>
      </w:r>
      <w:proofErr w:type="spellEnd"/>
      <w:r w:rsidRPr="009F6172">
        <w:rPr>
          <w:sz w:val="24"/>
          <w:szCs w:val="24"/>
        </w:rPr>
        <w:t xml:space="preserve">  de  primarul  comunei;</w:t>
      </w:r>
    </w:p>
    <w:p w14:paraId="52609C38" w14:textId="77777777" w:rsidR="00CF7585" w:rsidRPr="007576A3" w:rsidRDefault="00CF7585" w:rsidP="00CF7585">
      <w:pPr>
        <w:spacing w:line="360" w:lineRule="auto"/>
        <w:ind w:firstLine="708"/>
        <w:jc w:val="both"/>
        <w:rPr>
          <w:sz w:val="24"/>
          <w:szCs w:val="24"/>
        </w:rPr>
      </w:pPr>
      <w:r w:rsidRPr="009F6172">
        <w:rPr>
          <w:sz w:val="24"/>
          <w:szCs w:val="24"/>
        </w:rPr>
        <w:t xml:space="preserve">        </w:t>
      </w:r>
      <w:proofErr w:type="spellStart"/>
      <w:r w:rsidRPr="007576A3">
        <w:rPr>
          <w:sz w:val="24"/>
          <w:szCs w:val="24"/>
        </w:rPr>
        <w:t>Ţinând</w:t>
      </w:r>
      <w:proofErr w:type="spellEnd"/>
      <w:r w:rsidRPr="007576A3">
        <w:rPr>
          <w:sz w:val="24"/>
          <w:szCs w:val="24"/>
        </w:rPr>
        <w:t xml:space="preserve"> cont de:</w:t>
      </w:r>
    </w:p>
    <w:p w14:paraId="5F55FD10" w14:textId="7F5072AF" w:rsidR="00CF7585" w:rsidRPr="007576A3" w:rsidRDefault="00CF7585" w:rsidP="00CF7585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576A3">
        <w:rPr>
          <w:sz w:val="24"/>
          <w:szCs w:val="24"/>
        </w:rPr>
        <w:t>Adresa nr.</w:t>
      </w:r>
      <w:r w:rsidR="002C51CA">
        <w:rPr>
          <w:sz w:val="24"/>
          <w:szCs w:val="24"/>
        </w:rPr>
        <w:t xml:space="preserve"> 9412</w:t>
      </w:r>
      <w:r>
        <w:rPr>
          <w:sz w:val="24"/>
          <w:szCs w:val="24"/>
        </w:rPr>
        <w:t>/</w:t>
      </w:r>
      <w:r w:rsidR="002C51CA">
        <w:rPr>
          <w:sz w:val="24"/>
          <w:szCs w:val="24"/>
        </w:rPr>
        <w:t>11.03</w:t>
      </w:r>
      <w:r>
        <w:rPr>
          <w:sz w:val="24"/>
          <w:szCs w:val="24"/>
        </w:rPr>
        <w:t>.202</w:t>
      </w:r>
      <w:r w:rsidR="002C51CA">
        <w:rPr>
          <w:sz w:val="24"/>
          <w:szCs w:val="24"/>
        </w:rPr>
        <w:t>4</w:t>
      </w:r>
      <w:r w:rsidRPr="007576A3">
        <w:rPr>
          <w:sz w:val="24"/>
          <w:szCs w:val="24"/>
        </w:rPr>
        <w:t xml:space="preserve"> a Companiei de Apa  Someș S.A.</w:t>
      </w:r>
    </w:p>
    <w:p w14:paraId="00DA3E29" w14:textId="77777777" w:rsidR="00CF7585" w:rsidRPr="007576A3" w:rsidRDefault="00CF7585" w:rsidP="00CF7585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576A3">
        <w:rPr>
          <w:sz w:val="24"/>
          <w:szCs w:val="24"/>
        </w:rPr>
        <w:t xml:space="preserve">Legii privind proprietatea publică </w:t>
      </w:r>
      <w:proofErr w:type="spellStart"/>
      <w:r w:rsidRPr="007576A3">
        <w:rPr>
          <w:sz w:val="24"/>
          <w:szCs w:val="24"/>
        </w:rPr>
        <w:t>şi</w:t>
      </w:r>
      <w:proofErr w:type="spellEnd"/>
      <w:r w:rsidRPr="007576A3">
        <w:rPr>
          <w:sz w:val="24"/>
          <w:szCs w:val="24"/>
        </w:rPr>
        <w:t xml:space="preserve"> regimul juridic al acesteia nr. 213/1998, cu modificările </w:t>
      </w:r>
      <w:proofErr w:type="spellStart"/>
      <w:r w:rsidRPr="007576A3">
        <w:rPr>
          <w:sz w:val="24"/>
          <w:szCs w:val="24"/>
        </w:rPr>
        <w:t>şi</w:t>
      </w:r>
      <w:proofErr w:type="spellEnd"/>
      <w:r w:rsidRPr="007576A3">
        <w:rPr>
          <w:sz w:val="24"/>
          <w:szCs w:val="24"/>
        </w:rPr>
        <w:t xml:space="preserve"> completările ulterioare;</w:t>
      </w:r>
    </w:p>
    <w:p w14:paraId="4F8F5B39" w14:textId="77777777" w:rsidR="00CF7585" w:rsidRPr="007576A3" w:rsidRDefault="00CF7585" w:rsidP="00CF7585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576A3">
        <w:rPr>
          <w:bCs/>
          <w:sz w:val="24"/>
          <w:szCs w:val="24"/>
          <w:lang w:val="it-IT"/>
        </w:rPr>
        <w:t xml:space="preserve">Legii </w:t>
      </w:r>
      <w:r w:rsidRPr="007576A3">
        <w:rPr>
          <w:sz w:val="24"/>
          <w:szCs w:val="24"/>
          <w:lang w:val="it-IT"/>
        </w:rPr>
        <w:t xml:space="preserve">serviciului de alimentare cu apă şi de canalizare nr. </w:t>
      </w:r>
      <w:r w:rsidRPr="007576A3">
        <w:rPr>
          <w:bCs/>
          <w:sz w:val="24"/>
          <w:szCs w:val="24"/>
          <w:lang w:val="it-IT"/>
        </w:rPr>
        <w:t xml:space="preserve">241/2006, </w:t>
      </w:r>
      <w:r w:rsidRPr="007576A3">
        <w:rPr>
          <w:sz w:val="24"/>
          <w:szCs w:val="24"/>
          <w:lang w:val="it-IT"/>
        </w:rPr>
        <w:t>cu modificările şi completările ulterioare</w:t>
      </w:r>
      <w:r w:rsidRPr="007576A3">
        <w:rPr>
          <w:sz w:val="24"/>
          <w:szCs w:val="24"/>
        </w:rPr>
        <w:t>;</w:t>
      </w:r>
    </w:p>
    <w:p w14:paraId="49AB799E" w14:textId="77777777" w:rsidR="00CF7585" w:rsidRPr="007576A3" w:rsidRDefault="00CF7585" w:rsidP="00CF7585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 w:val="24"/>
          <w:szCs w:val="24"/>
        </w:rPr>
      </w:pPr>
      <w:r w:rsidRPr="007576A3">
        <w:rPr>
          <w:bCs/>
          <w:sz w:val="24"/>
          <w:szCs w:val="24"/>
        </w:rPr>
        <w:t>Hotărârii Guvernului nr. 717/2008</w:t>
      </w:r>
      <w:r w:rsidRPr="007576A3">
        <w:rPr>
          <w:sz w:val="24"/>
          <w:szCs w:val="24"/>
        </w:rPr>
        <w:t xml:space="preserve"> pentru aprobarea Procedurii-cadru privind organizarea, derularea si atribuirea contractelor de delegare a gestiunii serviciilor comunitare de utilit</w:t>
      </w:r>
      <w:r>
        <w:rPr>
          <w:sz w:val="24"/>
          <w:szCs w:val="24"/>
        </w:rPr>
        <w:t>ă</w:t>
      </w:r>
      <w:r w:rsidRPr="007576A3">
        <w:rPr>
          <w:sz w:val="24"/>
          <w:szCs w:val="24"/>
        </w:rPr>
        <w:t>ți publice, a criteriilor de selecție-cadru a ofertelor pentru serviciile comunitare de utilit</w:t>
      </w:r>
      <w:r>
        <w:rPr>
          <w:sz w:val="24"/>
          <w:szCs w:val="24"/>
        </w:rPr>
        <w:t>ă</w:t>
      </w:r>
      <w:r w:rsidRPr="007576A3">
        <w:rPr>
          <w:sz w:val="24"/>
          <w:szCs w:val="24"/>
        </w:rPr>
        <w:t>ți publice si a Contractului-cadru de delegare a gestiunii serviciilor comunitare de utilit</w:t>
      </w:r>
      <w:r>
        <w:rPr>
          <w:sz w:val="24"/>
          <w:szCs w:val="24"/>
        </w:rPr>
        <w:t>ă</w:t>
      </w:r>
      <w:r w:rsidRPr="007576A3">
        <w:rPr>
          <w:sz w:val="24"/>
          <w:szCs w:val="24"/>
        </w:rPr>
        <w:t>ți publice;</w:t>
      </w:r>
    </w:p>
    <w:p w14:paraId="52657485" w14:textId="77777777" w:rsidR="00CF7585" w:rsidRDefault="00CF7585" w:rsidP="00CF75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Având în vedere</w:t>
      </w:r>
      <w:r w:rsidRPr="005E40D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E40DD">
        <w:rPr>
          <w:sz w:val="24"/>
          <w:szCs w:val="24"/>
        </w:rPr>
        <w:t xml:space="preserve">rticolul 289 </w:t>
      </w:r>
      <w:r>
        <w:rPr>
          <w:sz w:val="24"/>
          <w:szCs w:val="24"/>
        </w:rPr>
        <w:t xml:space="preserve"> din O</w:t>
      </w:r>
      <w:r w:rsidRPr="005E40DD">
        <w:rPr>
          <w:sz w:val="24"/>
          <w:szCs w:val="24"/>
        </w:rPr>
        <w:t>rdonanța</w:t>
      </w:r>
      <w:r>
        <w:rPr>
          <w:sz w:val="24"/>
          <w:szCs w:val="24"/>
        </w:rPr>
        <w:t xml:space="preserve"> de urgență </w:t>
      </w:r>
      <w:r w:rsidRPr="005E40DD">
        <w:rPr>
          <w:sz w:val="24"/>
          <w:szCs w:val="24"/>
        </w:rPr>
        <w:t xml:space="preserve"> nr. 57 privind Codul administrativ</w:t>
      </w:r>
      <w:r>
        <w:t xml:space="preserve"> </w:t>
      </w:r>
      <w:r w:rsidRPr="005E40DD">
        <w:rPr>
          <w:sz w:val="24"/>
          <w:szCs w:val="24"/>
        </w:rPr>
        <w:t>refer</w:t>
      </w:r>
      <w:r>
        <w:rPr>
          <w:sz w:val="24"/>
          <w:szCs w:val="24"/>
        </w:rPr>
        <w:t>ito</w:t>
      </w:r>
      <w:r w:rsidRPr="005E40DD">
        <w:rPr>
          <w:sz w:val="24"/>
          <w:szCs w:val="24"/>
        </w:rPr>
        <w:t>r la Inventarierea bunuril</w:t>
      </w:r>
      <w:r>
        <w:rPr>
          <w:sz w:val="24"/>
          <w:szCs w:val="24"/>
        </w:rPr>
        <w:t>or din domeniul public al  unită</w:t>
      </w:r>
      <w:r w:rsidRPr="005E40DD">
        <w:rPr>
          <w:sz w:val="24"/>
          <w:szCs w:val="24"/>
        </w:rPr>
        <w:t>ților administrativ-teritoriale</w:t>
      </w:r>
      <w:r>
        <w:rPr>
          <w:sz w:val="24"/>
          <w:szCs w:val="24"/>
        </w:rPr>
        <w:t xml:space="preserve"> </w:t>
      </w:r>
    </w:p>
    <w:p w14:paraId="786A8707" w14:textId="7BF8EB9D" w:rsidR="00CF7585" w:rsidRPr="00E3187F" w:rsidRDefault="00CF7585" w:rsidP="00CF7585">
      <w:pPr>
        <w:spacing w:line="360" w:lineRule="auto"/>
        <w:jc w:val="both"/>
        <w:rPr>
          <w:sz w:val="24"/>
          <w:szCs w:val="24"/>
        </w:rPr>
      </w:pPr>
      <w:r w:rsidRPr="001E48D8">
        <w:rPr>
          <w:sz w:val="24"/>
          <w:szCs w:val="24"/>
        </w:rPr>
        <w:tab/>
        <w:t xml:space="preserve">       În temeiul art.</w:t>
      </w:r>
      <w:r w:rsidR="002C51CA">
        <w:rPr>
          <w:sz w:val="24"/>
          <w:szCs w:val="24"/>
        </w:rPr>
        <w:t xml:space="preserve"> </w:t>
      </w:r>
      <w:r w:rsidRPr="001E48D8">
        <w:rPr>
          <w:sz w:val="24"/>
          <w:szCs w:val="24"/>
        </w:rPr>
        <w:t>129 alin.2 lit.</w:t>
      </w:r>
      <w:r>
        <w:rPr>
          <w:sz w:val="24"/>
          <w:szCs w:val="24"/>
        </w:rPr>
        <w:t xml:space="preserve"> </w:t>
      </w:r>
      <w:r w:rsidRPr="001E48D8">
        <w:rPr>
          <w:sz w:val="24"/>
          <w:szCs w:val="24"/>
        </w:rPr>
        <w:t>c, coroborat cu alin.6 lit.</w:t>
      </w:r>
      <w:r>
        <w:rPr>
          <w:sz w:val="24"/>
          <w:szCs w:val="24"/>
        </w:rPr>
        <w:t xml:space="preserve"> </w:t>
      </w:r>
      <w:r w:rsidRPr="001E48D8">
        <w:rPr>
          <w:sz w:val="24"/>
          <w:szCs w:val="24"/>
        </w:rPr>
        <w:t>a, art.139 alin.3 lit.</w:t>
      </w:r>
      <w:r>
        <w:rPr>
          <w:sz w:val="24"/>
          <w:szCs w:val="24"/>
        </w:rPr>
        <w:t xml:space="preserve"> </w:t>
      </w:r>
      <w:r w:rsidRPr="001E48D8">
        <w:rPr>
          <w:sz w:val="24"/>
          <w:szCs w:val="24"/>
        </w:rPr>
        <w:t xml:space="preserve">g, art.154 alin.1 </w:t>
      </w:r>
      <w:proofErr w:type="spellStart"/>
      <w:r w:rsidRPr="001E48D8">
        <w:rPr>
          <w:sz w:val="24"/>
          <w:szCs w:val="24"/>
        </w:rPr>
        <w:t>şi</w:t>
      </w:r>
      <w:proofErr w:type="spellEnd"/>
      <w:r w:rsidRPr="001E48D8">
        <w:rPr>
          <w:sz w:val="24"/>
          <w:szCs w:val="24"/>
        </w:rPr>
        <w:t xml:space="preserve"> art.196 alin.1 lit.</w:t>
      </w:r>
      <w:r>
        <w:rPr>
          <w:sz w:val="24"/>
          <w:szCs w:val="24"/>
        </w:rPr>
        <w:t xml:space="preserve"> </w:t>
      </w:r>
      <w:r w:rsidRPr="001E48D8">
        <w:rPr>
          <w:sz w:val="24"/>
          <w:szCs w:val="24"/>
        </w:rPr>
        <w:t xml:space="preserve">a din </w:t>
      </w:r>
      <w:proofErr w:type="spellStart"/>
      <w:r w:rsidRPr="001E48D8">
        <w:rPr>
          <w:sz w:val="24"/>
          <w:szCs w:val="24"/>
        </w:rPr>
        <w:t>Ordonanţa</w:t>
      </w:r>
      <w:proofErr w:type="spellEnd"/>
      <w:r w:rsidRPr="001E48D8">
        <w:rPr>
          <w:sz w:val="24"/>
          <w:szCs w:val="24"/>
        </w:rPr>
        <w:t xml:space="preserve"> de </w:t>
      </w:r>
      <w:proofErr w:type="spellStart"/>
      <w:r w:rsidRPr="001E48D8">
        <w:rPr>
          <w:sz w:val="24"/>
          <w:szCs w:val="24"/>
        </w:rPr>
        <w:t>Urgenţă</w:t>
      </w:r>
      <w:proofErr w:type="spellEnd"/>
      <w:r w:rsidRPr="001E48D8">
        <w:rPr>
          <w:sz w:val="24"/>
          <w:szCs w:val="24"/>
        </w:rPr>
        <w:t xml:space="preserve"> a Guvernului nr.57/2019 privind Codul administrativ, modificată </w:t>
      </w:r>
      <w:proofErr w:type="spellStart"/>
      <w:r w:rsidRPr="001E48D8">
        <w:rPr>
          <w:sz w:val="24"/>
          <w:szCs w:val="24"/>
        </w:rPr>
        <w:t>şi</w:t>
      </w:r>
      <w:proofErr w:type="spellEnd"/>
      <w:r w:rsidRPr="001E48D8">
        <w:rPr>
          <w:sz w:val="24"/>
          <w:szCs w:val="24"/>
        </w:rPr>
        <w:t xml:space="preserve"> completată;            </w:t>
      </w:r>
    </w:p>
    <w:p w14:paraId="29CB0BE9" w14:textId="77777777" w:rsidR="00CF7585" w:rsidRPr="009F6172" w:rsidRDefault="00CF7585" w:rsidP="00CF7585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a</w:t>
      </w:r>
      <w:r w:rsidRPr="009F6172">
        <w:rPr>
          <w:i/>
          <w:sz w:val="24"/>
          <w:szCs w:val="24"/>
        </w:rPr>
        <w:t>doptă  prezenta,</w:t>
      </w:r>
    </w:p>
    <w:p w14:paraId="6D94A091" w14:textId="77777777" w:rsidR="00CF7585" w:rsidRPr="009F6172" w:rsidRDefault="00CF7585" w:rsidP="00CF7585">
      <w:pPr>
        <w:spacing w:line="360" w:lineRule="auto"/>
        <w:jc w:val="center"/>
        <w:rPr>
          <w:b/>
          <w:sz w:val="24"/>
          <w:szCs w:val="24"/>
        </w:rPr>
      </w:pPr>
      <w:r w:rsidRPr="009F6172">
        <w:rPr>
          <w:b/>
          <w:sz w:val="24"/>
          <w:szCs w:val="24"/>
        </w:rPr>
        <w:t>HOTĂRÂRE:</w:t>
      </w:r>
    </w:p>
    <w:p w14:paraId="79E0B9FB" w14:textId="77777777" w:rsidR="00CF7585" w:rsidRPr="009F6172" w:rsidRDefault="00CF7585" w:rsidP="00CF7585">
      <w:pPr>
        <w:spacing w:line="360" w:lineRule="auto"/>
        <w:jc w:val="both"/>
        <w:rPr>
          <w:b/>
          <w:sz w:val="24"/>
          <w:szCs w:val="24"/>
        </w:rPr>
      </w:pPr>
    </w:p>
    <w:p w14:paraId="3D4BD42F" w14:textId="77777777" w:rsidR="00CF7585" w:rsidRPr="007576A3" w:rsidRDefault="00CF7585" w:rsidP="002C51CA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576A3">
        <w:rPr>
          <w:b/>
          <w:sz w:val="24"/>
          <w:szCs w:val="24"/>
        </w:rPr>
        <w:t>Art. 1.</w:t>
      </w:r>
      <w:r w:rsidRPr="007576A3">
        <w:rPr>
          <w:sz w:val="24"/>
          <w:szCs w:val="24"/>
        </w:rPr>
        <w:t xml:space="preserve"> Se aprobă includerea în domeniul public al comunei Mociu a elementelor de infrastructură pentru alimentare cu apă </w:t>
      </w:r>
      <w:proofErr w:type="spellStart"/>
      <w:r w:rsidRPr="007576A3">
        <w:rPr>
          <w:sz w:val="24"/>
          <w:szCs w:val="24"/>
        </w:rPr>
        <w:t>şi</w:t>
      </w:r>
      <w:proofErr w:type="spellEnd"/>
      <w:r w:rsidRPr="007576A3">
        <w:rPr>
          <w:sz w:val="24"/>
          <w:szCs w:val="24"/>
        </w:rPr>
        <w:t xml:space="preserve"> canalizare din comuna Mociu </w:t>
      </w:r>
      <w:proofErr w:type="spellStart"/>
      <w:r w:rsidRPr="007576A3">
        <w:rPr>
          <w:sz w:val="24"/>
          <w:szCs w:val="24"/>
        </w:rPr>
        <w:t>Judeţul</w:t>
      </w:r>
      <w:proofErr w:type="spellEnd"/>
      <w:r w:rsidRPr="007576A3">
        <w:rPr>
          <w:sz w:val="24"/>
          <w:szCs w:val="24"/>
        </w:rPr>
        <w:t xml:space="preserve"> Cluj, cu detalierea componentelor prevăzute în </w:t>
      </w:r>
      <w:r w:rsidRPr="007576A3">
        <w:rPr>
          <w:b/>
          <w:sz w:val="24"/>
          <w:szCs w:val="24"/>
        </w:rPr>
        <w:t xml:space="preserve">anexele nr. 1 si 2 </w:t>
      </w:r>
      <w:r w:rsidRPr="007576A3">
        <w:rPr>
          <w:sz w:val="24"/>
          <w:szCs w:val="24"/>
        </w:rPr>
        <w:t>care fac parte integrantă din prezenta  hotărâre.</w:t>
      </w:r>
    </w:p>
    <w:p w14:paraId="2117EE9C" w14:textId="77777777" w:rsidR="00CF7585" w:rsidRPr="007576A3" w:rsidRDefault="00CF7585" w:rsidP="002C51CA">
      <w:pPr>
        <w:spacing w:line="360" w:lineRule="auto"/>
        <w:ind w:firstLine="708"/>
        <w:jc w:val="both"/>
        <w:rPr>
          <w:sz w:val="24"/>
          <w:szCs w:val="24"/>
        </w:rPr>
      </w:pPr>
      <w:r w:rsidRPr="007576A3">
        <w:rPr>
          <w:b/>
          <w:sz w:val="24"/>
          <w:szCs w:val="24"/>
        </w:rPr>
        <w:t>Art. 2.</w:t>
      </w:r>
      <w:r w:rsidRPr="007576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Inventarul </w:t>
      </w:r>
      <w:r w:rsidRPr="007576A3">
        <w:rPr>
          <w:sz w:val="24"/>
          <w:szCs w:val="24"/>
        </w:rPr>
        <w:t>bunurilor care alcătuiesc domeniului public al comunei Mociu</w:t>
      </w:r>
      <w:r>
        <w:rPr>
          <w:sz w:val="24"/>
          <w:szCs w:val="24"/>
        </w:rPr>
        <w:t>,</w:t>
      </w:r>
      <w:r w:rsidRPr="007576A3">
        <w:rPr>
          <w:sz w:val="24"/>
          <w:szCs w:val="24"/>
        </w:rPr>
        <w:t xml:space="preserve"> se modifică în mod corespunzător. </w:t>
      </w:r>
    </w:p>
    <w:p w14:paraId="0E0C9E4B" w14:textId="702FFC8F" w:rsidR="00CF7585" w:rsidRPr="007576A3" w:rsidRDefault="00CF7585" w:rsidP="00E3187F">
      <w:pPr>
        <w:spacing w:line="360" w:lineRule="auto"/>
        <w:ind w:firstLine="708"/>
        <w:jc w:val="both"/>
        <w:rPr>
          <w:sz w:val="24"/>
          <w:szCs w:val="24"/>
        </w:rPr>
      </w:pPr>
      <w:r w:rsidRPr="007576A3">
        <w:rPr>
          <w:b/>
          <w:sz w:val="24"/>
          <w:szCs w:val="24"/>
        </w:rPr>
        <w:t>Art. 3.</w:t>
      </w:r>
      <w:r w:rsidRPr="007576A3">
        <w:rPr>
          <w:sz w:val="24"/>
          <w:szCs w:val="24"/>
        </w:rPr>
        <w:t xml:space="preserve"> Se aprobă predarea bunurilor pentru protocol către </w:t>
      </w:r>
      <w:r w:rsidRPr="007576A3">
        <w:rPr>
          <w:i/>
          <w:sz w:val="24"/>
          <w:szCs w:val="24"/>
        </w:rPr>
        <w:t>Asociația Regionala Pentru Dezvoltarea Infrastructurii Din Bazinul Hidrografic Someș-Tisa</w:t>
      </w:r>
      <w:r w:rsidRPr="007576A3">
        <w:rPr>
          <w:sz w:val="24"/>
          <w:szCs w:val="24"/>
        </w:rPr>
        <w:t xml:space="preserve"> in scopul delegării serviciului de alimentare cu apa si de canalizare către Compania de Apa Someș SA Cluj, prevăzute la articolul 1 din prezenta hotărâre cu valoare totală de </w:t>
      </w:r>
      <w:r w:rsidR="002C51CA">
        <w:rPr>
          <w:sz w:val="24"/>
          <w:szCs w:val="24"/>
        </w:rPr>
        <w:t>68.217,00</w:t>
      </w:r>
      <w:r w:rsidRPr="007576A3">
        <w:rPr>
          <w:sz w:val="24"/>
          <w:szCs w:val="24"/>
        </w:rPr>
        <w:t xml:space="preserve"> lei.</w:t>
      </w:r>
    </w:p>
    <w:p w14:paraId="15216795" w14:textId="77777777" w:rsidR="00CF7585" w:rsidRPr="007576A3" w:rsidRDefault="00CF7585" w:rsidP="002C51CA">
      <w:pPr>
        <w:spacing w:line="360" w:lineRule="auto"/>
        <w:ind w:firstLine="708"/>
        <w:jc w:val="both"/>
        <w:rPr>
          <w:sz w:val="24"/>
          <w:szCs w:val="24"/>
        </w:rPr>
      </w:pPr>
      <w:r w:rsidRPr="007576A3">
        <w:rPr>
          <w:b/>
          <w:sz w:val="24"/>
          <w:szCs w:val="24"/>
        </w:rPr>
        <w:t>Art. 4.</w:t>
      </w:r>
      <w:r w:rsidRPr="007576A3">
        <w:rPr>
          <w:sz w:val="24"/>
          <w:szCs w:val="24"/>
        </w:rPr>
        <w:t xml:space="preserve"> Cu punerea în aplicare a prevederilor prezentei hotărâri se </w:t>
      </w:r>
      <w:proofErr w:type="spellStart"/>
      <w:r w:rsidRPr="007576A3">
        <w:rPr>
          <w:sz w:val="24"/>
          <w:szCs w:val="24"/>
        </w:rPr>
        <w:t>încredinţează</w:t>
      </w:r>
      <w:proofErr w:type="spellEnd"/>
      <w:r w:rsidRPr="007576A3">
        <w:rPr>
          <w:sz w:val="24"/>
          <w:szCs w:val="24"/>
        </w:rPr>
        <w:t xml:space="preserve"> Primarul comunei Mociu </w:t>
      </w:r>
      <w:proofErr w:type="spellStart"/>
      <w:r w:rsidRPr="007576A3">
        <w:rPr>
          <w:sz w:val="24"/>
          <w:szCs w:val="24"/>
        </w:rPr>
        <w:t>şi</w:t>
      </w:r>
      <w:proofErr w:type="spellEnd"/>
      <w:r w:rsidRPr="007576A3">
        <w:rPr>
          <w:sz w:val="24"/>
          <w:szCs w:val="24"/>
        </w:rPr>
        <w:t xml:space="preserve"> Societatea Comercială Compania de Apă </w:t>
      </w:r>
      <w:proofErr w:type="spellStart"/>
      <w:r w:rsidRPr="007576A3">
        <w:rPr>
          <w:sz w:val="24"/>
          <w:szCs w:val="24"/>
        </w:rPr>
        <w:t>Someş</w:t>
      </w:r>
      <w:proofErr w:type="spellEnd"/>
      <w:r w:rsidRPr="007576A3">
        <w:rPr>
          <w:sz w:val="24"/>
          <w:szCs w:val="24"/>
        </w:rPr>
        <w:t xml:space="preserve"> S.A.</w:t>
      </w:r>
    </w:p>
    <w:p w14:paraId="46F24A87" w14:textId="40A834B8" w:rsidR="00CF7585" w:rsidRPr="00D54178" w:rsidRDefault="00CF7585" w:rsidP="00D54178">
      <w:pPr>
        <w:spacing w:line="360" w:lineRule="auto"/>
        <w:ind w:firstLine="708"/>
        <w:jc w:val="both"/>
        <w:rPr>
          <w:sz w:val="24"/>
          <w:szCs w:val="24"/>
        </w:rPr>
      </w:pPr>
      <w:r w:rsidRPr="007576A3">
        <w:rPr>
          <w:b/>
          <w:sz w:val="24"/>
          <w:szCs w:val="24"/>
        </w:rPr>
        <w:t>Art. 5.</w:t>
      </w:r>
      <w:r w:rsidRPr="007576A3">
        <w:rPr>
          <w:sz w:val="24"/>
          <w:szCs w:val="24"/>
        </w:rPr>
        <w:t xml:space="preserve"> Prezenta hotărâre se comunică prin intermediul secretarului , în termenul prevăzut de </w:t>
      </w:r>
      <w:proofErr w:type="spellStart"/>
      <w:r w:rsidRPr="007576A3">
        <w:rPr>
          <w:sz w:val="24"/>
          <w:szCs w:val="24"/>
        </w:rPr>
        <w:t>lege,Primarului</w:t>
      </w:r>
      <w:proofErr w:type="spellEnd"/>
      <w:r w:rsidRPr="007576A3">
        <w:rPr>
          <w:sz w:val="24"/>
          <w:szCs w:val="24"/>
        </w:rPr>
        <w:t xml:space="preserve"> comunei Mociu Regiei Autonome de Administrare a Domeniului Public </w:t>
      </w:r>
      <w:proofErr w:type="spellStart"/>
      <w:r w:rsidRPr="007576A3">
        <w:rPr>
          <w:sz w:val="24"/>
          <w:szCs w:val="24"/>
        </w:rPr>
        <w:t>şi</w:t>
      </w:r>
      <w:proofErr w:type="spellEnd"/>
      <w:r w:rsidRPr="007576A3">
        <w:rPr>
          <w:sz w:val="24"/>
          <w:szCs w:val="24"/>
        </w:rPr>
        <w:t xml:space="preserve"> Privat al </w:t>
      </w:r>
      <w:proofErr w:type="spellStart"/>
      <w:r w:rsidRPr="007576A3">
        <w:rPr>
          <w:sz w:val="24"/>
          <w:szCs w:val="24"/>
        </w:rPr>
        <w:t>Judeţului</w:t>
      </w:r>
      <w:proofErr w:type="spellEnd"/>
      <w:r w:rsidRPr="007576A3">
        <w:rPr>
          <w:sz w:val="24"/>
          <w:szCs w:val="24"/>
        </w:rPr>
        <w:t xml:space="preserve"> Cluj; </w:t>
      </w:r>
      <w:proofErr w:type="spellStart"/>
      <w:r w:rsidRPr="007576A3">
        <w:rPr>
          <w:sz w:val="24"/>
          <w:szCs w:val="24"/>
        </w:rPr>
        <w:t>Societăţii</w:t>
      </w:r>
      <w:proofErr w:type="spellEnd"/>
      <w:r w:rsidRPr="007576A3">
        <w:rPr>
          <w:sz w:val="24"/>
          <w:szCs w:val="24"/>
        </w:rPr>
        <w:t xml:space="preserve"> Comerciale Compania de Apă </w:t>
      </w:r>
      <w:proofErr w:type="spellStart"/>
      <w:r w:rsidRPr="007576A3">
        <w:rPr>
          <w:sz w:val="24"/>
          <w:szCs w:val="24"/>
        </w:rPr>
        <w:t>Someş</w:t>
      </w:r>
      <w:proofErr w:type="spellEnd"/>
      <w:r w:rsidRPr="007576A3">
        <w:rPr>
          <w:sz w:val="24"/>
          <w:szCs w:val="24"/>
        </w:rPr>
        <w:t xml:space="preserve"> S.A. Cluj, precum </w:t>
      </w:r>
      <w:proofErr w:type="spellStart"/>
      <w:r w:rsidRPr="007576A3">
        <w:rPr>
          <w:sz w:val="24"/>
          <w:szCs w:val="24"/>
        </w:rPr>
        <w:t>şi</w:t>
      </w:r>
      <w:proofErr w:type="spellEnd"/>
      <w:r w:rsidRPr="007576A3">
        <w:rPr>
          <w:sz w:val="24"/>
          <w:szCs w:val="24"/>
        </w:rPr>
        <w:t xml:space="preserve"> Prefectului </w:t>
      </w:r>
      <w:proofErr w:type="spellStart"/>
      <w:r w:rsidRPr="007576A3">
        <w:rPr>
          <w:sz w:val="24"/>
          <w:szCs w:val="24"/>
        </w:rPr>
        <w:t>Judeţului</w:t>
      </w:r>
      <w:proofErr w:type="spellEnd"/>
      <w:r w:rsidRPr="007576A3">
        <w:rPr>
          <w:sz w:val="24"/>
          <w:szCs w:val="24"/>
        </w:rPr>
        <w:t xml:space="preserve"> Cluj.</w:t>
      </w:r>
      <w:r w:rsidRPr="007576A3">
        <w:rPr>
          <w:sz w:val="24"/>
          <w:szCs w:val="24"/>
          <w:lang w:val="de-DE"/>
        </w:rPr>
        <w:tab/>
      </w:r>
      <w:r w:rsidRPr="007576A3">
        <w:rPr>
          <w:sz w:val="24"/>
          <w:szCs w:val="24"/>
          <w:lang w:val="de-DE"/>
        </w:rPr>
        <w:tab/>
      </w:r>
      <w:r w:rsidRPr="007576A3">
        <w:rPr>
          <w:sz w:val="24"/>
          <w:szCs w:val="24"/>
          <w:lang w:val="de-DE"/>
        </w:rPr>
        <w:tab/>
      </w:r>
    </w:p>
    <w:p w14:paraId="2F0C6D12" w14:textId="77777777" w:rsidR="00D54178" w:rsidRPr="00D54178" w:rsidRDefault="00D54178" w:rsidP="00D54178">
      <w:pPr>
        <w:suppressAutoHyphens/>
        <w:autoSpaceDN/>
        <w:adjustRightInd/>
        <w:textAlignment w:val="auto"/>
        <w:rPr>
          <w:rFonts w:eastAsia="Calibri"/>
          <w:b/>
          <w:bCs/>
          <w:sz w:val="24"/>
          <w:szCs w:val="24"/>
        </w:rPr>
      </w:pPr>
      <w:proofErr w:type="spellStart"/>
      <w:r w:rsidRPr="00D54178">
        <w:rPr>
          <w:rFonts w:eastAsia="Calibri"/>
          <w:b/>
          <w:bCs/>
          <w:sz w:val="24"/>
          <w:szCs w:val="24"/>
        </w:rPr>
        <w:t>Presedinte</w:t>
      </w:r>
      <w:proofErr w:type="spellEnd"/>
      <w:r w:rsidRPr="00D54178">
        <w:rPr>
          <w:rFonts w:eastAsia="Calibri"/>
          <w:b/>
          <w:bCs/>
          <w:sz w:val="24"/>
          <w:szCs w:val="24"/>
        </w:rPr>
        <w:t xml:space="preserve"> de </w:t>
      </w:r>
      <w:proofErr w:type="spellStart"/>
      <w:r w:rsidRPr="00D54178">
        <w:rPr>
          <w:rFonts w:eastAsia="Calibri"/>
          <w:b/>
          <w:bCs/>
          <w:sz w:val="24"/>
          <w:szCs w:val="24"/>
        </w:rPr>
        <w:t>sedinta</w:t>
      </w:r>
      <w:proofErr w:type="spellEnd"/>
      <w:r w:rsidRPr="00D54178">
        <w:rPr>
          <w:rFonts w:eastAsia="Calibri"/>
          <w:b/>
          <w:bCs/>
          <w:sz w:val="24"/>
          <w:szCs w:val="24"/>
        </w:rPr>
        <w:t>,</w:t>
      </w:r>
      <w:r w:rsidRPr="00D54178">
        <w:rPr>
          <w:rFonts w:eastAsia="Calibri"/>
          <w:b/>
          <w:bCs/>
          <w:sz w:val="24"/>
          <w:szCs w:val="24"/>
        </w:rPr>
        <w:tab/>
      </w:r>
      <w:r w:rsidRPr="00D54178">
        <w:rPr>
          <w:rFonts w:eastAsia="Calibri"/>
          <w:b/>
          <w:bCs/>
          <w:sz w:val="24"/>
          <w:szCs w:val="24"/>
        </w:rPr>
        <w:tab/>
      </w:r>
      <w:r w:rsidRPr="00D54178">
        <w:rPr>
          <w:rFonts w:eastAsia="Calibri"/>
          <w:b/>
          <w:bCs/>
          <w:sz w:val="24"/>
          <w:szCs w:val="24"/>
        </w:rPr>
        <w:tab/>
      </w:r>
      <w:r w:rsidRPr="00D54178">
        <w:rPr>
          <w:rFonts w:eastAsia="Calibri"/>
          <w:b/>
          <w:bCs/>
          <w:sz w:val="24"/>
          <w:szCs w:val="24"/>
        </w:rPr>
        <w:tab/>
        <w:t xml:space="preserve">           Secretar general al comunei,</w:t>
      </w:r>
    </w:p>
    <w:p w14:paraId="0AC117F8" w14:textId="77777777" w:rsidR="00D54178" w:rsidRPr="00D54178" w:rsidRDefault="00D54178" w:rsidP="00D54178">
      <w:pPr>
        <w:suppressAutoHyphens/>
        <w:autoSpaceDN/>
        <w:adjustRightInd/>
        <w:textAlignment w:val="auto"/>
        <w:rPr>
          <w:rFonts w:eastAsia="Calibri"/>
          <w:b/>
          <w:bCs/>
          <w:sz w:val="24"/>
          <w:szCs w:val="24"/>
        </w:rPr>
      </w:pPr>
      <w:r w:rsidRPr="00D54178">
        <w:rPr>
          <w:rFonts w:eastAsia="Calibri"/>
          <w:b/>
          <w:bCs/>
          <w:sz w:val="24"/>
          <w:szCs w:val="24"/>
        </w:rPr>
        <w:t>Moldovan Vasile-Dan</w:t>
      </w:r>
      <w:r w:rsidRPr="00D54178">
        <w:rPr>
          <w:rFonts w:eastAsia="Calibri"/>
          <w:b/>
          <w:bCs/>
          <w:sz w:val="24"/>
          <w:szCs w:val="24"/>
        </w:rPr>
        <w:tab/>
      </w:r>
      <w:r w:rsidRPr="00D54178">
        <w:rPr>
          <w:rFonts w:eastAsia="Calibri"/>
          <w:b/>
          <w:bCs/>
          <w:sz w:val="24"/>
          <w:szCs w:val="24"/>
        </w:rPr>
        <w:tab/>
      </w:r>
      <w:r w:rsidRPr="00D54178">
        <w:rPr>
          <w:rFonts w:eastAsia="Calibri"/>
          <w:b/>
          <w:bCs/>
          <w:sz w:val="24"/>
          <w:szCs w:val="24"/>
        </w:rPr>
        <w:tab/>
      </w:r>
      <w:r w:rsidRPr="00D54178">
        <w:rPr>
          <w:rFonts w:eastAsia="Calibri"/>
          <w:b/>
          <w:bCs/>
          <w:sz w:val="24"/>
          <w:szCs w:val="24"/>
        </w:rPr>
        <w:tab/>
        <w:t xml:space="preserve">                </w:t>
      </w:r>
      <w:proofErr w:type="spellStart"/>
      <w:r w:rsidRPr="00D54178">
        <w:rPr>
          <w:rFonts w:eastAsia="Calibri"/>
          <w:b/>
          <w:bCs/>
          <w:sz w:val="24"/>
          <w:szCs w:val="24"/>
        </w:rPr>
        <w:t>Ganfalean</w:t>
      </w:r>
      <w:proofErr w:type="spellEnd"/>
      <w:r w:rsidRPr="00D54178">
        <w:rPr>
          <w:rFonts w:eastAsia="Calibri"/>
          <w:b/>
          <w:bCs/>
          <w:sz w:val="24"/>
          <w:szCs w:val="24"/>
        </w:rPr>
        <w:t xml:space="preserve"> Maria-Ioana</w:t>
      </w:r>
      <w:r w:rsidRPr="00D54178">
        <w:rPr>
          <w:rFonts w:eastAsia="Calibri"/>
          <w:b/>
          <w:bCs/>
          <w:sz w:val="24"/>
          <w:szCs w:val="24"/>
        </w:rPr>
        <w:tab/>
        <w:t xml:space="preserve">                  </w:t>
      </w:r>
    </w:p>
    <w:p w14:paraId="2CC14310" w14:textId="77777777" w:rsidR="00D54178" w:rsidRPr="00D54178" w:rsidRDefault="00D54178" w:rsidP="00D54178">
      <w:pPr>
        <w:suppressAutoHyphens/>
        <w:spacing w:line="360" w:lineRule="auto"/>
        <w:rPr>
          <w:sz w:val="24"/>
          <w:szCs w:val="24"/>
        </w:rPr>
      </w:pPr>
    </w:p>
    <w:p w14:paraId="0D36789C" w14:textId="77777777" w:rsidR="00D54178" w:rsidRPr="00D54178" w:rsidRDefault="00D54178" w:rsidP="00D54178">
      <w:pPr>
        <w:suppressAutoHyphens/>
        <w:spacing w:line="360" w:lineRule="auto"/>
        <w:rPr>
          <w:sz w:val="24"/>
          <w:szCs w:val="24"/>
        </w:rPr>
      </w:pPr>
    </w:p>
    <w:p w14:paraId="7DBDAA32" w14:textId="77777777" w:rsidR="00D54178" w:rsidRDefault="00D54178" w:rsidP="00D54178">
      <w:pPr>
        <w:suppressAutoHyphens/>
        <w:spacing w:line="360" w:lineRule="auto"/>
        <w:rPr>
          <w:sz w:val="24"/>
          <w:szCs w:val="24"/>
        </w:rPr>
      </w:pPr>
    </w:p>
    <w:p w14:paraId="3813B295" w14:textId="77777777" w:rsidR="00D54178" w:rsidRPr="00D54178" w:rsidRDefault="00D54178" w:rsidP="00D54178">
      <w:pPr>
        <w:suppressAutoHyphens/>
        <w:spacing w:line="360" w:lineRule="auto"/>
        <w:rPr>
          <w:sz w:val="24"/>
          <w:szCs w:val="24"/>
        </w:rPr>
      </w:pPr>
    </w:p>
    <w:p w14:paraId="703742D6" w14:textId="77777777" w:rsidR="00D54178" w:rsidRPr="00D54178" w:rsidRDefault="00D54178" w:rsidP="00D54178">
      <w:pPr>
        <w:suppressAutoHyphens/>
        <w:spacing w:line="360" w:lineRule="auto"/>
        <w:rPr>
          <w:sz w:val="24"/>
          <w:szCs w:val="24"/>
        </w:rPr>
      </w:pPr>
    </w:p>
    <w:p w14:paraId="130C038E" w14:textId="77777777" w:rsidR="00D54178" w:rsidRPr="00D54178" w:rsidRDefault="00D54178" w:rsidP="00D54178">
      <w:pPr>
        <w:suppressAutoHyphens/>
        <w:ind w:left="357" w:firstLine="720"/>
        <w:jc w:val="both"/>
        <w:rPr>
          <w:sz w:val="16"/>
          <w:szCs w:val="16"/>
        </w:rPr>
      </w:pPr>
      <w:r w:rsidRPr="00D54178">
        <w:rPr>
          <w:sz w:val="16"/>
          <w:szCs w:val="16"/>
        </w:rPr>
        <w:t xml:space="preserve">Prezenta </w:t>
      </w:r>
      <w:proofErr w:type="spellStart"/>
      <w:r w:rsidRPr="00D54178">
        <w:rPr>
          <w:sz w:val="16"/>
          <w:szCs w:val="16"/>
        </w:rPr>
        <w:t>hotǎrâre</w:t>
      </w:r>
      <w:proofErr w:type="spellEnd"/>
      <w:r w:rsidRPr="00D54178">
        <w:rPr>
          <w:sz w:val="16"/>
          <w:szCs w:val="16"/>
        </w:rPr>
        <w:t xml:space="preserve"> a fost </w:t>
      </w:r>
      <w:proofErr w:type="spellStart"/>
      <w:r w:rsidRPr="00D54178">
        <w:rPr>
          <w:sz w:val="16"/>
          <w:szCs w:val="16"/>
        </w:rPr>
        <w:t>adoptatǎ</w:t>
      </w:r>
      <w:proofErr w:type="spellEnd"/>
      <w:r w:rsidRPr="00D54178">
        <w:rPr>
          <w:sz w:val="16"/>
          <w:szCs w:val="16"/>
        </w:rPr>
        <w:t xml:space="preserve"> cu respectarea prevederilor art. 139 din OUG 57/2019 (r</w:t>
      </w:r>
      <w:r w:rsidRPr="00D54178">
        <w:rPr>
          <w:sz w:val="16"/>
          <w:szCs w:val="16"/>
          <w:vertAlign w:val="superscript"/>
        </w:rPr>
        <w:t>1</w:t>
      </w:r>
      <w:r w:rsidRPr="00D54178">
        <w:rPr>
          <w:sz w:val="16"/>
          <w:szCs w:val="16"/>
        </w:rPr>
        <w:t>)</w:t>
      </w:r>
    </w:p>
    <w:p w14:paraId="4EF12325" w14:textId="77777777" w:rsidR="00D54178" w:rsidRPr="00D54178" w:rsidRDefault="00D54178" w:rsidP="00D54178">
      <w:pPr>
        <w:suppressAutoHyphens/>
        <w:ind w:left="357" w:firstLine="720"/>
        <w:jc w:val="both"/>
        <w:rPr>
          <w:sz w:val="16"/>
          <w:szCs w:val="16"/>
        </w:rPr>
      </w:pPr>
      <w:r w:rsidRPr="00D54178">
        <w:rPr>
          <w:sz w:val="16"/>
          <w:szCs w:val="16"/>
        </w:rPr>
        <w:t xml:space="preserve">         Nr. total al consilierilor</w:t>
      </w:r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  <w:t xml:space="preserve"> =  13</w:t>
      </w:r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  <w:t xml:space="preserve">Voturi </w:t>
      </w:r>
      <w:r w:rsidRPr="00D54178">
        <w:rPr>
          <w:sz w:val="16"/>
          <w:szCs w:val="16"/>
        </w:rPr>
        <w:tab/>
        <w:t>- pentru</w:t>
      </w:r>
      <w:r w:rsidRPr="00D54178">
        <w:rPr>
          <w:sz w:val="16"/>
          <w:szCs w:val="16"/>
        </w:rPr>
        <w:tab/>
        <w:t>=    11</w:t>
      </w:r>
      <w:r w:rsidRPr="00D54178">
        <w:rPr>
          <w:sz w:val="16"/>
          <w:szCs w:val="16"/>
        </w:rPr>
        <w:tab/>
        <w:t xml:space="preserve">                       </w:t>
      </w:r>
    </w:p>
    <w:p w14:paraId="13DE2400" w14:textId="77777777" w:rsidR="00D54178" w:rsidRPr="00D54178" w:rsidRDefault="00D54178" w:rsidP="00D54178">
      <w:pPr>
        <w:suppressAutoHyphens/>
        <w:ind w:left="357" w:firstLine="720"/>
        <w:jc w:val="both"/>
        <w:rPr>
          <w:sz w:val="16"/>
          <w:szCs w:val="16"/>
        </w:rPr>
      </w:pPr>
      <w:r w:rsidRPr="00D54178">
        <w:rPr>
          <w:sz w:val="16"/>
          <w:szCs w:val="16"/>
        </w:rPr>
        <w:tab/>
        <w:t xml:space="preserve">Nr. total al consilierilor </w:t>
      </w:r>
      <w:proofErr w:type="spellStart"/>
      <w:r w:rsidRPr="00D54178">
        <w:rPr>
          <w:sz w:val="16"/>
          <w:szCs w:val="16"/>
        </w:rPr>
        <w:t>prezenţi</w:t>
      </w:r>
      <w:proofErr w:type="spellEnd"/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  <w:t xml:space="preserve"> = 11</w:t>
      </w:r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  <w:t>- contra</w:t>
      </w:r>
      <w:r w:rsidRPr="00D54178">
        <w:rPr>
          <w:sz w:val="16"/>
          <w:szCs w:val="16"/>
        </w:rPr>
        <w:tab/>
        <w:t>=      0</w:t>
      </w:r>
      <w:r w:rsidRPr="00D54178">
        <w:rPr>
          <w:sz w:val="16"/>
          <w:szCs w:val="16"/>
        </w:rPr>
        <w:tab/>
        <w:t xml:space="preserve">                               </w:t>
      </w:r>
    </w:p>
    <w:p w14:paraId="4C17DA82" w14:textId="77777777" w:rsidR="00D54178" w:rsidRPr="00D54178" w:rsidRDefault="00D54178" w:rsidP="00D54178">
      <w:pPr>
        <w:suppressAutoHyphens/>
        <w:ind w:left="357" w:firstLine="720"/>
        <w:jc w:val="both"/>
        <w:rPr>
          <w:sz w:val="16"/>
          <w:szCs w:val="16"/>
        </w:rPr>
      </w:pPr>
      <w:r w:rsidRPr="00D54178">
        <w:rPr>
          <w:sz w:val="16"/>
          <w:szCs w:val="16"/>
        </w:rPr>
        <w:t xml:space="preserve">  </w:t>
      </w:r>
      <w:r w:rsidRPr="00D54178">
        <w:rPr>
          <w:sz w:val="16"/>
          <w:szCs w:val="16"/>
        </w:rPr>
        <w:tab/>
        <w:t xml:space="preserve">Nr. total al consilierilor </w:t>
      </w:r>
      <w:proofErr w:type="spellStart"/>
      <w:r w:rsidRPr="00D54178">
        <w:rPr>
          <w:sz w:val="16"/>
          <w:szCs w:val="16"/>
        </w:rPr>
        <w:t>absenţi</w:t>
      </w:r>
      <w:proofErr w:type="spellEnd"/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  <w:t xml:space="preserve"> =  2</w:t>
      </w:r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</w:r>
      <w:r w:rsidRPr="00D54178">
        <w:rPr>
          <w:sz w:val="16"/>
          <w:szCs w:val="16"/>
        </w:rPr>
        <w:tab/>
        <w:t xml:space="preserve">- </w:t>
      </w:r>
      <w:proofErr w:type="spellStart"/>
      <w:r w:rsidRPr="00D54178">
        <w:rPr>
          <w:sz w:val="16"/>
          <w:szCs w:val="16"/>
        </w:rPr>
        <w:t>abţineri</w:t>
      </w:r>
      <w:proofErr w:type="spellEnd"/>
      <w:r w:rsidRPr="00D54178">
        <w:rPr>
          <w:sz w:val="16"/>
          <w:szCs w:val="16"/>
        </w:rPr>
        <w:t xml:space="preserve">  </w:t>
      </w:r>
      <w:r w:rsidRPr="00D54178">
        <w:rPr>
          <w:sz w:val="16"/>
          <w:szCs w:val="16"/>
        </w:rPr>
        <w:tab/>
        <w:t xml:space="preserve">= 0       </w:t>
      </w:r>
    </w:p>
    <w:p w14:paraId="1C5BC4C7" w14:textId="77777777" w:rsidR="00E3187F" w:rsidRPr="00E3187F" w:rsidRDefault="00E3187F" w:rsidP="00E3187F">
      <w:pPr>
        <w:tabs>
          <w:tab w:val="left" w:pos="7062"/>
        </w:tabs>
        <w:overflowPunct/>
        <w:autoSpaceDE/>
        <w:autoSpaceDN/>
        <w:adjustRightInd/>
        <w:spacing w:line="360" w:lineRule="auto"/>
        <w:textAlignment w:val="auto"/>
        <w:rPr>
          <w:rFonts w:eastAsia="MS Mincho"/>
          <w:sz w:val="24"/>
          <w:szCs w:val="24"/>
          <w:lang w:eastAsia="en-US"/>
        </w:rPr>
      </w:pPr>
    </w:p>
    <w:p w14:paraId="3FAAA4D5" w14:textId="77777777" w:rsidR="00093A61" w:rsidRDefault="00093A61">
      <w:pPr>
        <w:rPr>
          <w:lang w:val="en-US"/>
        </w:rPr>
      </w:pPr>
    </w:p>
    <w:p w14:paraId="727D7855" w14:textId="77777777" w:rsidR="00093A61" w:rsidRDefault="00093A61">
      <w:pPr>
        <w:rPr>
          <w:lang w:val="en-US"/>
        </w:rPr>
      </w:pPr>
    </w:p>
    <w:p w14:paraId="53E074F5" w14:textId="77777777" w:rsidR="00093A61" w:rsidRDefault="00093A61">
      <w:pPr>
        <w:rPr>
          <w:lang w:val="en-US"/>
        </w:rPr>
      </w:pPr>
    </w:p>
    <w:p w14:paraId="59300A72" w14:textId="77777777" w:rsidR="00093A61" w:rsidRDefault="00093A61" w:rsidP="00093A61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2"/>
          <w:sz w:val="24"/>
          <w:szCs w:val="24"/>
          <w:lang w:val="en-GB" w:eastAsia="en-US"/>
          <w14:ligatures w14:val="standardContextual"/>
        </w:rPr>
      </w:pPr>
    </w:p>
    <w:sectPr w:rsidR="00093A61" w:rsidSect="00CF758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4AB3"/>
    <w:multiLevelType w:val="hybridMultilevel"/>
    <w:tmpl w:val="7D9076F2"/>
    <w:lvl w:ilvl="0" w:tplc="9D0EA7BC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49107E"/>
    <w:multiLevelType w:val="hybridMultilevel"/>
    <w:tmpl w:val="C20E2016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44128624">
    <w:abstractNumId w:val="1"/>
  </w:num>
  <w:num w:numId="2" w16cid:durableId="148997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85"/>
    <w:rsid w:val="00093A61"/>
    <w:rsid w:val="00131F81"/>
    <w:rsid w:val="002C51CA"/>
    <w:rsid w:val="00452726"/>
    <w:rsid w:val="006C17E0"/>
    <w:rsid w:val="009A38C6"/>
    <w:rsid w:val="00B142CC"/>
    <w:rsid w:val="00B67C50"/>
    <w:rsid w:val="00B954BD"/>
    <w:rsid w:val="00C71C55"/>
    <w:rsid w:val="00CF7585"/>
    <w:rsid w:val="00D54178"/>
    <w:rsid w:val="00E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6739"/>
  <w15:docId w15:val="{E4623CF5-10CC-4EDC-A98F-A270AF5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85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E31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9</cp:revision>
  <dcterms:created xsi:type="dcterms:W3CDTF">2024-03-27T08:15:00Z</dcterms:created>
  <dcterms:modified xsi:type="dcterms:W3CDTF">2024-04-04T05:49:00Z</dcterms:modified>
</cp:coreProperties>
</file>